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https://www.autoritedelaconcurrence.fr/fr/decision-de-controle-des-concentrations/relative-la-prise-de-controle-exclusif-de-la-societe-cm-cic</w:t>
      </w:r>
    </w:p>
    <w:p>
      <w:r>
        <w:t>Pages translated : 4</w:t>
      </w:r>
    </w:p>
    <w:p/>
    <w:p>
      <w:r>
        <w:rPr>
          <w:b/>
        </w:rPr>
        <w:t>[Pages 1–3]</w:t>
      </w:r>
    </w:p>
    <w:p>
      <w:r>
        <w:t xml:space="preserve">FRENCH REPUBLIC  </w:t>
        <w:br/>
        <w:t xml:space="preserve">Decision No. 13-DCC-191 of December 19, 2013  </w:t>
        <w:br/>
        <w:t>regarding the exclusive control of the company CM-CIC LBO Partners by the company Fondations Capital</w:t>
      </w:r>
    </w:p>
    <w:p>
      <w:r>
        <w:t xml:space="preserve">The Competition Authority,  </w:t>
        <w:br/>
        <w:t xml:space="preserve">Having regard to the notification file submitted in full to the merger service on November 15, 2013, regarding the exclusive control of the company CM-CIC LBO Partners by the company Fondations Capital, formalized by a memorandum of understanding dated October 14, 2013;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 xml:space="preserve">1. Fondations Capital is a private equity fund management company established in 2007, with capital held by private investors. Through its fund Fondations Capital I SICAR, it controls several companies active in various sectors including construction materials (Alkern Group), commercial catering (Courtepaille), waste collection, treatment, and recovery (Sepur), the manufacturing and distribution of wind instruments (Buffet Group), and communication and marketing (Mazarine).  </w:t>
        <w:br/>
        <w:t xml:space="preserve">2. CM-CIC LBO Partners, established in 2004 and controlled by CM-CIC Capital Finance, which is itself controlled by the Caisse Fédérale de Crédit Mutuel, is an alternative investment fund management company approved by the AMF. It is the management company of two risk capital mutual funds, CIC LBO Fund and CIC LBO Fund II. This company invests in various businesses and holds stakes in the distribution sector to professional clients of wire drawing products, hardware, and small DIY items (Tréfilaction), retail distribution of women's ready-to-wear (Sinéquanone), communication and marketing services (ORC), building climate engineering and multi-technical services (Rougnon Group), home medical care services (AMS), enterprise resource planning software publishing (Lefebvre Software), internet access provision and telephony for SMEs (Nerim), and the digital management of documents for construction sites (Sogelink).  </w:t>
        <w:br/>
        <w:t xml:space="preserve">3. The notified operation consists of the acquisition by Fondations Capital of 90% of the capital of the company CM-CIC LBO Partners, as well as shares in the CIC LBO Fund II. Given the provisions of the draft shareholders' agreement concluded between Fondations Capital and CM-CIC Capital Finance, it appears that Fondations Capital will be solely able to exercise decisive influence over the CM-CIC LBO Partners group. The notified operation therefore results in the exclusive control of CM-CIC LBO Partners by Fondations Capital, and as such constitutes a concentration within the meaning of Article L. 430-1 of the Commercial Code.  </w:t>
        <w:br/>
        <w:t>4. The companies concerned together achieved a consolidated turnover excluding taxes worldwide of more than 150 million euros in the last closed financial year (Fondations Capital: […] euros for the financial year ending December 31, 2012; CM-CIC LBO Partners: […] euros for the same financial year). Each of these companies achieved, in France, a turnover exceeding 50 million euros (Fondations Capital: […] euros for the financial year ending December 31, 2012; CM-CIC LBO Partners: […] euros for the same financial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5. Fondations Capital and CM-CIC LBO Partners are both active in the asset management market and, more specifically, in the private equity segment.  </w:t>
        <w:br/>
        <w:t>6. Furthermore, Fondations Capital and CM-CIC LBO Partners are present in the communication and marketing sector through the companies Mazarine and ORC, which they control respectively.</w:t>
      </w:r>
    </w:p>
    <w:p>
      <w:r>
        <w:t xml:space="preserve">A. THE PRIVATE EQUITY MARKET  </w:t>
        <w:br/>
        <w:t xml:space="preserve">7. The asset management market concerns the management services of securities held by companies and institutional clients. The decision-making practice has considered distinguishing among these services the activities of portfolio management, mutual fund management, and private equity:  </w:t>
        <w:br/>
        <w:t xml:space="preserve">- portfolio management (excluding real estate assets and excluding UCITS) consists of optimizing the financial return of a portfolio of securities (stocks and/or bonds) held by a client;  </w:t>
        <w:br/>
        <w:t xml:space="preserve">- the management of mutual investment funds of the UCITS type (which are divided into SICAVs and FCPs) is an activity that involves managing this type of collective investment funds on behalf of companies and institutional investors;  </w:t>
        <w:br/>
        <w:t xml:space="preserve">- the activity of venture capital (or "private equity") involves an investor taking equity stakes in companies that are not listed on the stock exchange and that need an injection of equity capital. Several forms of intervention can be distinguished, namely "venture capital," intended to finance the start-up of new companies, "development capital," to finance the growth of the company, "buyout capital" (or "LBO") intended to support the transfer or sale of the company, and "turnaround capital" to assist in the recovery of a distressed company.  </w:t>
        <w:br/>
        <w:t xml:space="preserve">8. In this case, the activities of Fondations Capital and CM-CIC LBO Partners only overlap in the private equity segment, on which the effects of the present operation will be examined.  </w:t>
        <w:br/>
        <w:t>9. Competition authorities generally consider that the asset management markets have at least a European dimension. The exact geographical definition of the markets may, however, remain open in that, regardless of the delimitation adopted, the conclusions of the competitive analysis will remain unchanged.</w:t>
      </w:r>
    </w:p>
    <w:p>
      <w:r>
        <w:t xml:space="preserve">B. THE MARKET FOR COMMUNICATION AND MARKETING SERVICES  </w:t>
        <w:br/>
        <w:t xml:space="preserve">10. Community decision-making practice considers that the various services provided by consulting and communication companies belong to a single market, without it being relevant to distinguish according to the type of advertising action or medium on which they are carried out. These services include, in particular, conducting market studies, designing, developing, and illustrating advertising messages, choosing media, advertising consulting, and public relations. The Commission considers that all these actions are difficult to separate given that they are merely means used to satisfy a globally negotiated advertising campaign by the client advertiser.  </w:t>
        <w:br/>
        <w:t xml:space="preserve">11. Furthermore, the European Commission has considered that the market for the provision of communication and marketing services is of national dimension due in particular to specificities in terms of languages and prices. However, the Commission has contemplated that this market could have a supranational dimension given the increasing frequency of European or even international advertising campaigns.  </w:t>
        <w:br/>
        <w:t>12. There is no need to challenge these delimitations in the present decision.</w:t>
      </w:r>
    </w:p>
    <w:p>
      <w:r>
        <w:rPr>
          <w:b/>
        </w:rPr>
        <w:t>[Pages 4–4]</w:t>
      </w:r>
    </w:p>
    <w:p>
      <w:r>
        <w:t xml:space="preserve">III. Competitive Analysis  </w:t>
        <w:br/>
        <w:t xml:space="preserve">13. In the private equity segment in France, the parties represent [0-5]% of the total amount invested in 2012, with the operation resulting in a very limited strengthening (+[0-5]%) of Fondations Capital. Furthermore, the Authority has already noted3 the presence in this segment of numerous significant competitors, such as, for example, PAI Partners, Wendel, LBO France Gestion, Astorg Partners, Bridgepoint, or Carlyle.  </w:t>
        <w:br/>
        <w:t xml:space="preserve">14. Regarding communication and marketing services, the notifying party estimates that Mazarine and ORC represent approximately [0-5]% of the market in France.  </w:t>
        <w:br/>
        <w:t xml:space="preserve">15. Considering all these elements, the operation is not likely to harm competition in the relevant markets.  </w:t>
        <w:br/>
        <w:t xml:space="preserve">DECIDES  </w:t>
        <w:br/>
        <w:t xml:space="preserve">Sole Article: The operation notified under number 13-214 is authorized.  </w:t>
        <w:br/>
        <w:t xml:space="preserve">The President,  </w:t>
        <w:br/>
        <w:t xml:space="preserve">Bruno Lasserre  </w:t>
        <w:br/>
        <w:t xml:space="preserve">© Competition Authority  </w:t>
        <w:br/>
        <w:t xml:space="preserve">3 Decision of the Competition Authority No. 11-DCC-86 of June 9, 2011, regarding the exclusive control of the OFI Private Equity group by Eurazeo SA.  </w:t>
        <w:br/>
        <w:t>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