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https://www.autoritedelaconcurrence.fr/fr/decision-de-controle-des-concentrations/relative-la-prise-de-controle-exclusif-de-la-societe-cnim</w:t>
      </w:r>
    </w:p>
    <w:p>
      <w:r>
        <w:t>Pages translated : 11</w:t>
      </w:r>
    </w:p>
    <w:p/>
    <w:p>
      <w:r>
        <w:rPr>
          <w:b/>
        </w:rPr>
        <w:t>[Pages 1–3]</w:t>
      </w:r>
    </w:p>
    <w:p>
      <w:r>
        <w:t>FRENCH REPUBLIC</w:t>
        <w:br/>
        <w:t>Decision No. 23-DCC-07 of January 10, 2023</w:t>
        <w:br/>
        <w:t>regarding the exclusive control of</w:t>
        <w:br/>
        <w:t>the company CNIM Systèmes Industriels and various assets</w:t>
        <w:br/>
        <w:t>necessary for its activity by the Real Group</w:t>
        <w:br/>
        <w:t>The Competition Authority,</w:t>
        <w:br/>
        <w:t>Having regard to the notification file submitted to the merger service on August 31, 2022, declared complete on October 12, 2022, concerning the exclusive control of the company CNIM Systèmes Industriels and various assets necessary for its activity by the company Groupe Réel, formalized by a takeover offer dated May 13, 2022, reiterated on July 27, 2022, and the judgment of the Paris Commercial Court dated September 27, 2022;</w:t>
        <w:br/>
        <w:t>Having regard to Book IV of the Commercial Code relating to the freedom of prices and competition, and in particular its Articles L. 430-1 to L. 430-7;</w:t>
        <w:br/>
        <w:t>Having regard to the supplementary elements transmitted by the notifying party during the investigation;</w:t>
        <w:br/>
        <w:t>Adopts the following decision:</w:t>
        <w:br/>
        <w:t>I. The companies concerned and the operation</w:t>
        <w:br/>
        <w:t>1. The company Groupe Réel, the parent company of the eponymous group, is exclusively controlled by [confidential]. The Real Group is active in the sectors of complex lifting and handling systems as well as the supply of integrated systems for industrial sectors such as civil nuclear, defense, or aeronautics.</w:t>
        <w:br/>
        <w:t>2. The acquired assets (hereinafter "CSI") include the company CNIM Systèmes Industriels and various assets, held by the company CNIM Groupe, necessary for the continuation of the activity of CNIM Systèmes Industriels. These assets include real estate, tangible and intangible assets, and contracts. CSI is active in the sector of supplying integrated systems and complex large-scale mechanical industrial solutions, targeting several industrial sectors such as defense or space.</w:t>
        <w:br/>
        <w:t>3. The contemplated operation consists of the acquisition by the Real Group of 100% of the capital of CNIM Systèmes Industriels as well as various assets belonging to the company CNIM. As it results in the exclusive control of CSI by the Real Group, the notified operation constitutes a concentration operation within the meaning of Article L. 430-1 of the Commercial Code.</w:t>
      </w:r>
    </w:p>
    <w:p>
      <w:r>
        <w:t>4. The companies concerned together achieve a total worldwide turnover excluding taxes of more than 150 million euros (Real group: [≥ 150 million] euros for the fiscal year ending December 31, 2021; CSI: [≤ 150 million] euros for the same fiscal year). Each of these companies has achieved a turnover in France exceeding 50 million euros (Real group: [≥ 50 million] euros for the fiscal year ending December 31, 2021; CSI: [≥ 50 million]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5. The parties are simultaneously active in the markets for the supply of specialized lifting and handling systems as well as in the market for industrial supplies in the civil nuclear sector. The Real Group1 is also present in the market for the maintenance of lifting and handling systems and CSI2 is present in the market for the supply of onboard naval equipment.</w:t>
        <w:br/>
        <w:t>A. MARKETS FOR THE SUPPLY OF LIFTING AND HANDLING SYSTEMS</w:t>
        <w:br/>
        <w:t>1. PRODUCT MARKETS</w:t>
        <w:br/>
        <w:t>6. The European Commission (hereinafter "the Commission") defines industrial lifting and handling systems as "electromechanical or mechanical equipment, generally equipped with a cable or chain hoist, capable of moving loads vertically and horizontally using manual force or specific devices. Industrial lifting and handling systems allow for the manipulation of loads ranging from 0.1 tons to 100 tons"3 (free translation).</w:t>
        <w:br/>
        <w:t>7. It distinguishes, on the one hand, "standard" lifting and handling systems and, on the other hand, the set of "specialized, engineering, and process" lifting and handling systems, taking into account in particular the differences in price, production methods, technologies used, and usage between these two types of systems4, which render these systems very weakly substitutable for one another.</w:t>
        <w:br/>
        <w:t>8. In this case, the notifying party is present in the market for specialized lifting and handling systems in the sectors of civil nuclear, defense, aeronautics, offshore industry, and more marginally in various other industrial sectors. CSI is present in the market for specialized lifting and handling systems in the civil nuclear and defense sectors.</w:t>
        <w:br/>
        <w:t>9. The notifying party estimates that within the market for specialized lifting and handling systems, it is possible to isolate a market concerning the nuclear sector and a market concerning the defense sector.</w:t>
        <w:br/>
        <w:t>10. Regarding the nuclear sector, it indicates that "lifting and handling systems specialized in the nuclear sector are distinct from those of other industries due to the constraints related to the handling of nuclear materials and compliance with nuclear safety requirements. They must therefore be subject to specific approvals or qualifications (safety justification, seismic sizing justification, control and monitoring audits, etc.)."</w:t>
        <w:br/>
        <w:t>11. Regarding the defense sector, it considers that this sector also presents specificities "due to the reliability and safety constraints related to lifting and handling [confidential]."</w:t>
        <w:br/>
        <w:t>12. It also emerges from the investigation that concerning these two sectors, additional segmentations may be considered.</w:t>
        <w:br/>
        <w:t>13. Thus, regarding civil nuclear, the lifting and handling systems for fuel, within nuclear power plants and particularly at the heart of reactors, could be distinguished from the lifting and handling systems for other stages of the fuel lifecycle, namely enrichment, manufacturing, reprocessing, and storage. Indeed, in addition to the specific safety requirements necessary for handling fuel, the presence of lifting systems inside reactors places this equipment and the materials that constitute it in situations of high constraints related to irradiated environments.</w:t>
        <w:br/>
        <w:t>14. Similarly, a distinction could be made between "onshore" lifting and handling systems and lifting and handling systems onboard ships. Lifting and handling systems for sensitive loads such as those supplied by the notifying party for loading [confidential], or those allowing for lifting and handling [confidential], meet specific requirements, different from those met by onboard lifting systems, allowing for example [confidential].</w:t>
        <w:br/>
        <w:t>15. In this case, however, the question of the exact delimitation of the market for the supply of lifting and handling systems can be left open, as the conclusions of the competitive analysis remain unchanged, regardless of the hypothesis retained. In this case, the parties simultaneously offer specialized lifting and handling systems for the civil nuclear and defense sectors.</w:t>
        <w:br/>
        <w:t>4 European Commission Decisions No. IV/M.420 CGP / GEC ALSTHOM / KPR / KONE CORPORATION of April 14, 1994 and No. COMP/M.7792 cited above.</w:t>
      </w:r>
    </w:p>
    <w:p>
      <w:r>
        <w:rPr>
          <w:b/>
        </w:rPr>
        <w:t>[Pages 4–6]</w:t>
      </w:r>
    </w:p>
    <w:p>
      <w:r>
        <w:t>2. GEOGRAPHIC MARKETS</w:t>
        <w:br/>
        <w:t>16. While leaving the market definition open, the Commission considered that the market for standard lifting and handling systems was national in scope. However, it did not express an opinion on the geographic scope of the market for specialized lifting and handling systems. The notifying party considers this market to be national in scope.</w:t>
        <w:br/>
        <w:t>17. In the field of defense, as in the civil nuclear sector, most of the suppliers of lifting systems operating in France are French companies. Nevertheless, companies such as KoneCranes or APCO, which operate worldwide, also respond to tenders in France for specialized lifting and handling systems. A geographic delimitation broader than just the national market could therefore also be considered.</w:t>
        <w:br/>
        <w:t>18. In this case, however, the question of the exact geographic delimitation of this market can be left open, as the conclusions of the competitive analysis remain unchanged, regardless of the hypothesis retained. For the purposes of the investigation of this operation, the analysis will be conducted at the national level, the most conservative level.</w:t>
        <w:br/>
        <w:t>B. THE MARKET FOR MAINTENANCE OF SPECIALIZED LIFTING AND HANDLING SYSTEMS</w:t>
        <w:br/>
        <w:t>1. PRODUCT MARKET</w:t>
        <w:br/>
        <w:t>19. The Commission considers that maintenance services for specialized lifting and handling systems constitute a distinct market from the market for the supply of this equipment. This market includes preventive maintenance (revisions, inspections) and corrective maintenance (repair of breakdowns or accidental damages, replacement of parts) of the equipment.</w:t>
        <w:br/>
        <w:t>20. The notifying party further considers that, given the specific requirements attached to maintenance operations in the nuclear sector, maintenance services for specialized lifting and handling systems in this sector could constitute a distinct market.</w:t>
        <w:br/>
        <w:t>21. In this case, however, the question of the exact delimitation of the market for maintenance of specialized lifting systems can be left open, as the conclusions of the competitive analysis remain unchanged, regardless of the hypothesis retained. Only the Real group offers such services in the civil nuclear, defense, and aerospace sectors.</w:t>
        <w:br/>
        <w:t>2. GEOGRAPHIC MARKET</w:t>
        <w:br/>
        <w:t>22. According to the Commission, the market for maintenance of industrial lifting and handling systems has a national dimension, particularly due to the need for service providers to be able to intervene quickly and limit transportation costs. The Commission, however, left the question of the precise definition of the geographic market open.</w:t>
        <w:br/>
        <w:t>23. In this case, however, the question of the exact geographic delimitation of this market can be left open, as the conclusions of the competitive analysis remain unchanged, regardless of the hypothesis retained. For the purposes of the investigation of this operation, the analysis will be conducted at the national level.</w:t>
        <w:br/>
        <w:t>C. THE MARKET FOR INDUSTRIAL SUPPLIES IN THE NUCLEAR SECTOR</w:t>
        <w:br/>
        <w:t>1. PRODUCT MARKET</w:t>
        <w:br/>
        <w:t>24. The Authority defined a market for industrial supplies in the nuclear sector, distinct from the market for industrial supplies in other sectors. In this regard, the Authority indicated that the existence of such a market is justified by the fact that industrial supplies intended for the nuclear sector are subject to specific approvals or qualifications.</w:t>
        <w:br/>
        <w:t>25. It considers that industrial supplies in the nuclear sector encompass numerous products, which include, among others, cables, high and low voltage switchboards and transformers, penetrations, converters, steam turbines, backup generators, electrical distribution equipment, control and protection equipment, batteries, transformers, electrical panels, and inverters.</w:t>
        <w:br/>
        <w:t>26. While leaving the market definition open, the Authority considered several segmentations within the market for industrial supplies in the nuclear sector by identifying (i) transmission, (ii) automation, (iii) assembly, (iv) equipment, and (v) protection, hygiene, and safety.</w:t>
        <w:br/>
        <w:t>27. In this case, the question of a finer segmentation of the market for industrial supplies in the nuclear sector can be left open, as the conclusions of the competitive analysis remain unchanged regardless of the segmentation retained. The notifying party and the target only offer equipment.</w:t>
        <w:br/>
        <w:t>2. GEOGRAPHIC MARKET</w:t>
        <w:br/>
        <w:t>28. In a previous decision, while leaving the market definition open, the Authority analyzed the market for industrial supplies by conservatively retaining a national dimension.</w:t>
        <w:br/>
        <w:t>D. MARKETS FOR ONBOARD NAVAL EQUIPMENT SUPPLY</w:t>
        <w:br/>
        <w:t>1. PRODUCT MARKETS</w:t>
        <w:br/>
        <w:t>29. The Commission identified a market for onboard naval equipment and considered that each component could be regarded as constituting a specific market. It thus conducted separate analyses for transmission parts, stabilizers, water/hydrocarbon separators, sonar systems, and mine detection systems.</w:t>
        <w:br/>
        <w:t>30. Only CSI is present in this market. It produces [defense products] for the national Navy [confidential]. It also supplies special openings [confidential].</w:t>
        <w:br/>
        <w:t>31. The competitive analysis will be conducted, on the one hand, on the market for onboard naval equipment as a whole and, on the other hand, on each of the products offered by CSI.</w:t>
        <w:br/>
        <w:t>2. GEOGRAPHIC MARKETS</w:t>
        <w:br/>
        <w:t>32. Decision-making practice generally considers that the market for military naval equipment is global in scope, except in situations where there are local suppliers capable of meeting national demand, these suppliers generally being favored by national buyers.</w:t>
        <w:br/>
        <w:t>33. In this case, given the very high sensitivity of the equipment produced by CSI in this market, and particularly the [defense products], the analysis will be conducted at the national level, with CSI indicating that it has no other clients elsewhere in Europe or in the world.</w:t>
        <w:br/>
        <w:t>III. Competitive Analysis</w:t>
        <w:br/>
        <w:t>34. The operation leads to horizontal overlaps in the markets for the supply of specialized lifting and handling systems considered as a whole, as well as in the industrial supplies market in the nuclear sector.</w:t>
        <w:br/>
        <w:t>35. Furthermore, the operation creates conglomerate links between the parties. Indeed, the Real group is present in the market for the maintenance of specialized handling and lifting systems, a market related to the supply of specialized handling and lifting systems, in which the parties are simultaneously present. In addition, CSI is active in the market for the supply of onboard naval equipment, while the Real group offers specialized lifting and handling systems in the defense sector.</w:t>
      </w:r>
    </w:p>
    <w:p>
      <w:r>
        <w:rPr>
          <w:b/>
        </w:rPr>
        <w:t>[Pages 7–9]</w:t>
      </w:r>
    </w:p>
    <w:p>
      <w:r>
        <w:t>d'appels d'offres distincts. Par conséquent, il n'existe pas de lien suffisant entre les produits et services fournis par CSI et ceux fournis par le groupe Réel pour permettre la mise en œuvre d'une stratégie d'effet de levier.</w:t>
      </w:r>
    </w:p>
    <w:p>
      <w:r>
        <w:t>59. En conclusion, l'analyse des effets congloméraux ne révèle pas de risque significatif de restriction de la concurrence sur les marchés concernés. Les parts de marché des parties sont suffisamment faibles pour écarter tout risque d'effet congloméral, et les différences entre les clients et les programmes militaires rendent improbable l'utilisation d'une position forte sur un marché pour influencer les conditions sur un autre marché.</w:t>
      </w:r>
    </w:p>
    <w:p>
      <w:r>
        <w:rPr>
          <w:b/>
        </w:rPr>
        <w:t>[Pages 10–11]</w:t>
      </w:r>
    </w:p>
    <w:p>
      <w:r>
        <w:t xml:space="preserve">of separate tenders so that the new entity could not bundle these offers for these different products or services.  </w:t>
        <w:br/>
        <w:t xml:space="preserve">59. It should finally be noted that while CSI is the sole supplier of [defense products] for the national Navy, [confidential] is the sole buyer. With a turnover of nearly [confidential] billion in 2021 (compared to [confidential] million for CSI and [confidential] million for the Real group), [confidential] has very strong negotiating power that allows it to oppose any implementation of a bundling strategy by the new entity.  </w:t>
        <w:br/>
        <w:t xml:space="preserve">60. Given these elements, any risk of harm to competition through conglomerate effects between the markets for the supply of onboard naval equipment and specialized lifting and handling systems in the defense sector can be ruled out.  </w:t>
        <w:br/>
        <w:t>10</w:t>
      </w:r>
    </w:p>
    <w:p>
      <w:r>
        <w:t xml:space="preserve">DECIDES  </w:t>
        <w:br/>
        <w:t xml:space="preserve">Sole Article: The operation notified under number 22-208 is authorized.  </w:t>
        <w:br/>
        <w:t xml:space="preserve">The President,  </w:t>
        <w:br/>
        <w:t xml:space="preserve">Benoît Cœuré  </w:t>
        <w:br/>
        <w:t xml:space="preserve">© Competition Authority  </w:t>
        <w:br/>
        <w:t>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