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https://www.autoritedelaconcurrence.fr/fr/decision-de-controle-des-concentrations/relative-la-prise-de-controle-exclusif-de-la-societe-colis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22-DCC-44 of March 30, 2022  </w:t>
        <w:br/>
        <w:t xml:space="preserve">regarding the exclusive control acquisition of the company Colis Privé Group  </w:t>
        <w:br/>
        <w:t xml:space="preserve">by the company Ceva Logistics  </w:t>
        <w:br/>
        <w:t xml:space="preserve">The Competition Authority,  </w:t>
        <w:br/>
        <w:t xml:space="preserve">Having regard to the complete notification file sent to the mergers department on March 15, 2022,  </w:t>
        <w:br/>
        <w:t xml:space="preserve">concerning the exclusive control acquisition by the company Ceva Logistics of the company  </w:t>
        <w:br/>
        <w:t xml:space="preserve">Colis Privé Group, formalized by a draft share transfer agreement dated March 13,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Colis Privé Group by  </w:t>
        <w:br/>
        <w:t xml:space="preserve">the company Ceva Logistics, a subsidiary of the company CMA CGM, itself exclusively controlled  </w:t>
        <w:br/>
        <w:t xml:space="preserve">by the company Merit1. The acquirer is active in the logistics services and freight transport sector,  </w:t>
        <w:br/>
        <w:t xml:space="preserve">while the target primarily operates in the parcel delivery markets. It constitutes a concentration within the meaning of Article L. 430-1 of the Commercial Code.  </w:t>
        <w:br/>
        <w:t xml:space="preserve">Considering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The present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 xml:space="preserve">in the concerned markets.  </w:t>
        <w:br/>
        <w:t xml:space="preserve">1 By an amendment dated March 9, 2022, to the shareholders' agreement concluded between Bpifrance Participations and Merit, Bpifrance Participations has  </w:t>
        <w:br/>
        <w:t xml:space="preserve">waived the veto rights it held over the approval of the strategic plan and the annual budget of CMA-CGM, granting it joint control  </w:t>
        <w:br/>
        <w:t>over CMA-CGM.</w:t>
      </w:r>
    </w:p>
    <w:p>
      <w:r>
        <w:t xml:space="preserve">DECIDES  </w:t>
        <w:br/>
        <w:t xml:space="preserve">Single Article: The operation notified under number 22-051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