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https://www.autoritedelaconcurrence.fr/fr/decision-de-controle-des-concentrations/relative-la-prise-de-controle-exclusif-de-la-societe-corre</w:t>
      </w:r>
    </w:p>
    <w:p>
      <w:r>
        <w:t>Pages translated : 2</w:t>
      </w:r>
    </w:p>
    <w:p/>
    <w:p>
      <w:r>
        <w:rPr>
          <w:b/>
        </w:rPr>
        <w:t>[Pages 1–2]</w:t>
      </w:r>
    </w:p>
    <w:p>
      <w:r>
        <w:t xml:space="preserve">FRENCH REPUBLIC  </w:t>
        <w:br/>
        <w:t xml:space="preserve">Decision No. 14-DCC-170 of November 20, 2014  </w:t>
        <w:br/>
        <w:t xml:space="preserve">regarding the exclusive control acquisition of the company Corre Automobiles  </w:t>
        <w:br/>
        <w:t xml:space="preserve">by the company Holding GGD  </w:t>
        <w:br/>
        <w:t xml:space="preserve">The Competition Authority,  </w:t>
        <w:br/>
        <w:t xml:space="preserve">Having regard to the notification file sent to the mergers department on October 22, 2014, and  </w:t>
        <w:br/>
        <w:t xml:space="preserve">declared complete on November 7, 2014, concerning the exclusive control acquisition of the company Corre  </w:t>
        <w:br/>
        <w:t xml:space="preserve">Automobiles by the company Holding GGD, a subsidiary of the Bernier group, formalized by a  </w:t>
        <w:br/>
        <w:t xml:space="preserve">transfer protocol dated October 9, 2014;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company Corre Automobiles,  </w:t>
        <w:br/>
        <w:t xml:space="preserve">operating three Peugeot brand businesses in the towns of Amilly, Gien, and Villemandeur in the Loiret department (45), by the Bernier group, which is itself active in automobile distribution. It constitutes a concentration within the meaning of Article L. 430-1 of the Commercial Code. Given the revenues generated by the companies concerned,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14-189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