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https://www.autoritedelaconcurrence.fr/fr/decision-de-controle-des-concentrations/relative-la-prise-de-controle-exclusif-de-la-societe-cote</w:t>
      </w:r>
    </w:p>
    <w:p>
      <w:r>
        <w:t>Pages translated : 2</w:t>
      </w:r>
    </w:p>
    <w:p/>
    <w:p>
      <w:r>
        <w:rPr>
          <w:b/>
        </w:rPr>
        <w:t>[Pages 1–2]</w:t>
      </w:r>
    </w:p>
    <w:p>
      <w:r>
        <w:t xml:space="preserve">FRENCH REPUBLIC  </w:t>
        <w:br/>
        <w:t xml:space="preserve">Decision No. 17-DCC-152 of September 8, 2017  </w:t>
        <w:br/>
        <w:t xml:space="preserve">regarding the exclusive control acquisition of the company Côte Ouest Auto  </w:t>
        <w:br/>
        <w:t xml:space="preserve">by the company GCA Investissements  </w:t>
        <w:br/>
        <w:t xml:space="preserve">The Competition Authority,  </w:t>
        <w:br/>
        <w:t xml:space="preserve">Having regard to the notification file sent to the mergers department on August 2, 2017, declared complete on August 28, 2017, concerning the exclusive control acquisition of the company Côte Ouest Auto by the company GCA Investissements, formalized by a share purchase agreement dated July 17, 2017;  </w:t>
        <w:br/>
        <w:t xml:space="preserve">Having regard to Book IV of the Commercial Code relating to the freedom of prices and competition, and in particular its Articles L. 430-1 to L. 430-7;  </w:t>
        <w:br/>
        <w:t xml:space="preserve">Having regard to the elements provided by the notifying party;  </w:t>
        <w:br/>
        <w:t xml:space="preserve">Adopts the following decision:  </w:t>
        <w:br/>
        <w:t xml:space="preserve">1. The notified operation consists of the exclusive control acquisition by the company GCA Investissements of the company Côte Ouest Auto and its subsidiaries, which are active in the markets of automobile distribution. It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 xml:space="preserve">2. The markets concerned by the operation are the markets for the distribution of vehicles, spare parts and automotive accessories, and the maintenance and repair services of motor vehicles. These markets are consistently defined by the decision-making practice of the Competition Authority.  </w:t>
        <w:br/>
        <w:t xml:space="preserve">3. Regardless of the segmentations retained, the estimated market shares of the parties are below 15%.  </w:t>
        <w:br/>
        <w:t>4. Considering the elements of the file and in accordance with point 384 of the guidelines of the Competition Authority relating to the control of concentrations, the operation is not likely to harm competition.</w:t>
      </w:r>
    </w:p>
    <w:p>
      <w:r>
        <w:t xml:space="preserve">DECIDES  </w:t>
        <w:br/>
        <w:t xml:space="preserve">Sole Article: The operation notified under number 17-160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