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https://www.autoritedelaconcurrence.fr/fr/decision-de-controle-des-concentrations/relative-la-prise-de-controle-exclusif-de-la-societe-coutis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23-DCC-51 of March 15, 2023  </w:t>
        <w:br/>
        <w:t xml:space="preserve">regarding the exclusive control acquisition of the company Coutis by the company  </w:t>
        <w:br/>
        <w:t xml:space="preserve">ITM Entreprises  </w:t>
        <w:br/>
        <w:t xml:space="preserve">The Competition Authority,  </w:t>
        <w:br/>
        <w:t xml:space="preserve">Having regard to the complete notification file sent to the mergers department on February 24, 2023,  </w:t>
        <w:br/>
        <w:t xml:space="preserve">concerning the exclusive control acquisition of the company Coutis by the company ITM Entreprises  </w:t>
        <w:br/>
        <w:t xml:space="preserve">formalized by a letter of intent dated December 20,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Coutis by the company  </w:t>
        <w:br/>
        <w:t xml:space="preserve">ITM Entreprises via the company ITM Alimentaire Région Parisienne. The company Coutis operates  </w:t>
        <w:br/>
        <w:t xml:space="preserve">a retail business predominantly in food with an area of 3,390 m² under the Intermarché brand in Othis (77). The operation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thresholds for control related to retail trade mentioned in II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23-039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