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https://www.autoritedelaconcurrence.fr/fr/decision-de-controle-des-concentrations/relative-la-prise-de-controle-exclusif-de-la-societe-creche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24-DCC-148 of July 9, 2024</w:t>
        <w:br/>
        <w:t>regarding the exclusive control acquisition of the company Crèche and Go by</w:t>
        <w:br/>
        <w:t>the company Evancia</w:t>
        <w:br/>
        <w:t>The Competition Authority,</w:t>
        <w:br/>
        <w:t>Having regard to the complete notification file submitted to the mergers department on June 18, 2024,</w:t>
        <w:br/>
        <w:t>concerning the exclusive control acquisition of the company Crèche and Go by the company Evancia</w:t>
        <w:br/>
        <w:t>formalized by the notification of a lifting of a purchase promise dated May 31,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exclusive control of the company Crèche and Go</w:t>
        <w:br/>
        <w:t>SAS and all its subsidiaries by the company Evancia, a subsidiary of the Babilou group, which</w:t>
        <w:br/>
        <w:t>are active in the nursery sector. It constitutes a concentration operation within the meaning</w:t>
        <w:br/>
        <w:t>of Article L. 430-1 of the Commercial Code. Given the turnover achieved by the</w:t>
        <w:br/>
        <w:t>concerned companies, the operation does not fall under the jurisdiction of the European Union. However, the control thresholds mentioned in III of Article L. 430-2 of the Commercial Code</w:t>
        <w:br/>
        <w:t>are exceeded. The present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24-145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