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https://www.autoritedelaconcurrence.fr/fr/decision-de-controle-des-concentrations/relative-la-prise-de-controle-exclusif-de-la-societe-credit</w:t>
      </w:r>
    </w:p>
    <w:p>
      <w:r>
        <w:t>Pages translated : 5</w:t>
      </w:r>
    </w:p>
    <w:p/>
    <w:p>
      <w:r>
        <w:rPr>
          <w:b/>
        </w:rPr>
        <w:t>[Pages 1–3]</w:t>
      </w:r>
    </w:p>
    <w:p>
      <w:r>
        <w:t xml:space="preserve">FRENCH REPUBLIC  </w:t>
        <w:br/>
        <w:t xml:space="preserve">Decision No. 10-DCC-172 of November 29, 2010  </w:t>
        <w:br/>
        <w:t xml:space="preserve">regarding the exclusive control of the company Crédit Foncier et  </w:t>
        <w:br/>
        <w:t xml:space="preserve">Communal d’Alsace et de Lorraine Banque by the company Crédit  </w:t>
        <w:br/>
        <w:t xml:space="preserve">Mutuel Arkéa  </w:t>
        <w:br/>
        <w:t xml:space="preserve">The Competition Authority,  </w:t>
        <w:br/>
        <w:t xml:space="preserve">Having regard to the notification file submitted in full to the merger service on  </w:t>
        <w:br/>
        <w:t xml:space="preserve">October 22, 2010, concerning the acquisition of the company Crédit Foncier et  </w:t>
        <w:br/>
        <w:t xml:space="preserve">Communal d’Alsace et de Lorraine Banque by the company Crédit Mutuel Arkéa, formalized by a letter of offer dated October 21, 2010 and a draft share transfer agreement;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company Crédit Mutuel Arkéa (hereinafter "Crédit Mutuel Arkéa") is the parent company of the mutual banking group Crédit Mutuel Arkéa, which includes the federations of Crédit Mutuel de Bretagne, Sud Ouest, and Massif Central, as well as about twenty subsidiaries. The group's activities cover all areas of banking, finance, insurance, and real estate.  </w:t>
        <w:br/>
        <w:t xml:space="preserve">2. The company Crédit Foncier et Communal d’Alsace et de Lorraine Banque (hereinafter "CFCAL") is 68.29% owned and controlled by the company Crédit Foncier de France (hereinafter "CFF"), which is wholly owned by the Banque Populaire group and Caisse d'Epargne ("BPCE"). CFCAL offers loans allocated for the consolidation of credits secured by a mortgage to individuals and sole proprietors. CFCAL also issues, through its subsidiary, Crédit Foncier et Communal d’Alsace et de Lorraine – Société de Crédit Foncier (hereinafter "CFCAL-SCF"), covered bonds for the partial refinancing of its lending activity.  </w:t>
        <w:br/>
        <w:t xml:space="preserve">3. The proposed transaction consists of the acquisition by Crédit Mutuel Arkéa of all the shares held by CFF in CFCAL, representing 68.29% of the share capital and 69.32% of the voting rights. The transaction thus results in the exclusive control of CFCAL by Crédit Mutuel Arkéa and constitutes a concentration within the meaning of Article L. 430-1 of the Commercial Code.  </w:t>
        <w:br/>
        <w:t xml:space="preserve">4. The companies concerned achieved a consolidated turnover excluding taxes worldwide of more than 150 million euros in 2009 (Crédit Mutuel Arkéa: 7.96 billion euros; CFCAL: 75.5 million euros). Each of these companies achieved, in France, a turnover exceeding 50 million euros (Crédit Mutuel Arkéa: 7.95 billion euros; CFCAL: 75.5 million euros). Given these turnover figures, the transaction does not have a community dimension. However, the control thresholds mentioned in I of Article L. 430-2 of the Commercial Code are exceeded. This transaction is therefore subject to the provisions of Articles L. 430-3 and following of the Commercial Code relating to economic concentration.  </w:t>
        <w:br/>
        <w:t xml:space="preserve">II. Definition of the relevant markets  </w:t>
        <w:br/>
        <w:t xml:space="preserve">A. CREDIT RESTRUCTURING (OR CONSOLIDATION)  </w:t>
        <w:br/>
        <w:t xml:space="preserve">1. PRODUCT MARKET  </w:t>
        <w:br/>
        <w:t xml:space="preserve">5. National and community decision-making practice traditionally segments the banking sector into three distinct product markets: retail banking services for individuals (retail banking), banking services for businesses (commercial banking), and operations on financial markets. Furthermore, national and community competition authorities consider that these three categories of services can be subdivided into numerous specific services.  </w:t>
        <w:br/>
        <w:t xml:space="preserve">6. CFCAL and Crédit Mutuel Arkéa simultaneously offer retail banking services for individuals. More specifically, CFCAL offers credit restructuring products. Credit restructuring involves identifying and consolidating into a single loan (substitution loan) all ongoing credits of a client, regardless of their duration or rate, whether they are allocated (real estate, automobile) or not (personal loans, available cash reserve, etc.), all of their debts (bank overdrafts, family loans, tax arrears, condominium charges, etc.) as well as a cash envelope allowing them to have a "safety reserve." Crédit Mutuel Arkéa, for its part, offers consumer credit and real estate credit products.  </w:t>
        <w:br/>
        <w:t xml:space="preserve">7. Within the retail banking sector, decision-making practice, while leaving the market definition open, has considered it relevant to distinguish credit restructuring from other types of credit to individuals, such as real estate credit and consumer credit. It noted in this regard that credit restructuring involves the study of compromised situations, at least from a liquidity standpoint, and not the study of favorable situations, and therefore does not lead to the same economic arbitrations. Moreover, these products are predominantly distributed through the channel of banking operations intermediaries. Finally, "traditional" credit institutions do not offer a similar range to that of operators specialized in credit restructuring and do not have specific expertise in this area.  </w:t>
        <w:br/>
        <w:t xml:space="preserve">8. Decision-making practice has also considered the possibility of a sub-segmentation of the credit restructuring segment according to the types of consolidated credits (consumer credit, real estate credit), according to the mode of guarantee (unsecured, secured by mortgage) and according to the level of guarantee (light or heavy restructuring when the debt ratio of applicants is at least 60%) but ultimately left the precise market definition open.  </w:t>
        <w:br/>
        <w:t xml:space="preserve">9. In this case, the precise market definition can also be left open, insofar as, regardless of the definition retained, the conclusions of the analysis remain unchanged.  </w:t>
        <w:br/>
        <w:t xml:space="preserve">2. GEOGRAPHIC MARKET  </w:t>
        <w:br/>
        <w:t xml:space="preserve">10. National and community competition authorities have generally considered that retail banking markets are at most of national dimension. They have notably noted that the proximity of bank branches remains an essential element for retail banking clients.  </w:t>
        <w:br/>
        <w:t xml:space="preserve">11. The parties argue that the credit restructuring market is of national dimension, as, unlike initial loans, credit restructuring products are not distributed through local bank branches, but through a network of non-exclusive agents. Furthermore, the prices and granting criteria for these banking products do not vary according to the geographical situation of the client.  </w:t>
        <w:br/>
        <w:t xml:space="preserve">12. However, it is not necessary within the framework of this operation to decide on the precise geographical definition of the credit restructuring market, as, regardless of the definition retained, the conclusions of the analysis remain unchanged.  </w:t>
        <w:br/>
        <w:t xml:space="preserve">B. THE ISSUANCE OF COVERED BONDS  </w:t>
        <w:br/>
        <w:t>13. The so-called "covered" bonds ("Covered Bonds") are securities issued by financial institutions that assume responsibility for their repayment. They are secured by a specific collateral, called a "safety pool," composed of high-quality mortgage loans or loans to the public sector on which investors enjoy a preferential right. These covered bonds are similar to traditional fixed-rate bonds, with a significant improvement: the use of a pool of assets that "secures" or "covers" the bond if its issuer becomes insolvent. There are different types.</w:t>
      </w:r>
    </w:p>
    <w:p>
      <w:r>
        <w:rPr>
          <w:b/>
        </w:rPr>
        <w:t>[Pages 4–5]</w:t>
      </w:r>
    </w:p>
    <w:p>
      <w:r>
        <w:t>of covered bonds: mortgage bonds, municipal bonds, housing bonds, structured covered bonds. The parties argue that the issuance of covered bonds constitutes a distinct product market and that there is no need to further segment based on the different types of covered bonds. The European Commission has, in this regard, considered that German "Pfandbriefe" (equivalent to "covered bonds" under French law) together constitute a distinct market from other forms of bank credit refinancing. It is, moreover, not necessary within the framework of the examination of the notified operation to decide on a potential further segmentation of the covered bonds market, as, regardless of the delimitation adopted, the conclusions of the analysis remain unchanged.</w:t>
      </w:r>
    </w:p>
    <w:p>
      <w:r>
        <w:t>14. Regarding the geographical dimension of the market, the parties argue that it is at least European given the location of the subscribers of covered bonds in different countries of the European Union. The European Commission, in the aforementioned decision, left the geographical delimitation of the covered bonds market open. Similarly, it is not necessary within the framework of the present operation to decide on the precise geographical delimitation of the market, as, regardless of the delimitation adopted, the conclusions of the analysis remain unchanged.</w:t>
      </w:r>
    </w:p>
    <w:p>
      <w:r>
        <w:t xml:space="preserve">III. Competitive Analysis  </w:t>
        <w:br/>
        <w:t xml:space="preserve">A. CREDIT RESTRUCTURING  </w:t>
        <w:br/>
        <w:t>15. CFCAL offers loans allocated for the consolidation of credits secured by a mortgage. It holds a market share of approximately 7% in 2009 in the credit restructuring segment in France and about 12% in 2009 in the narrower segment of mortgage-secured credit restructuring. Its main competitors are Sygma, GE Money Bank, CCFP Créditmédia (group Crédit immobilier de France), BNP Paribas Personal Finance, and CGI (group Société Générale), all of which hold larger market shares than CFCAL in France.</w:t>
      </w:r>
    </w:p>
    <w:p>
      <w:r>
        <w:t>16. Crédit Mutuel Arkéa is not present in the credit restructuring segment in France but in the consumer credit and mortgage credit segments. In each of these segments, its market share is below 5% at the national level, and it faces competition from large French banking groups such as BPCE, Crédit Agricole/Crédit Lyonnais, BNP Paribas, or Société Générale/Crédit du Nord.</w:t>
      </w:r>
    </w:p>
    <w:p>
      <w:r>
        <w:t>17. It follows from these elements that the notified operation will not result in any overlap in the credit restructuring, consumer credit, and mortgage credit segments in France. Furthermore, the notified operation will not lead to any vertical or conglomerate effects in the relevant markets. On the one hand, the market shares of the parties in each of these segments are low and would not allow the parties to restrict competitors' access. On the other hand, it will not be possible for the parties to tie a consumer credit or a mortgage credit to a subsequent offer of credit restructuring, as the offer of credit restructuring addresses a very specific and distinct demand from that of the initial credit.</w:t>
      </w:r>
    </w:p>
    <w:p>
      <w:r>
        <w:t xml:space="preserve">B. THE ISSUANCE OF COVERED BONDS  </w:t>
        <w:br/>
        <w:t>18. CFCAL-SCF, a subsidiary of CFCAL, refinances CFCAL's lending activity through the issuance of mortgage bonds. CFCAL-SCF issued an amount of mortgage bonds of approximately 35 million in 2009. Crédit Mutuel Arkéa, for its part, issued an amount of covered bonds of approximately 700 million in 2009 but is currently not active in the mortgage bond issuance segment. However, it has just obtained approval from the Prudential Control Authority to create its own mortgage credit company and should soon operate in this segment.</w:t>
      </w:r>
    </w:p>
    <w:p>
      <w:r>
        <w:t>19. In the market for covered bonds, the parties hold a combined market share of less than 1% in Europe and less than 2% in France in 2009. In the narrower segment of mortgage bonds in France, CFCAL-SCF's market share is less than 1% in 2009. The main competitors of the parties are Crédit Foncier de France, CIF Euromortgage, BNP Paribas, Crédit Agricole, and BPCE, whose market shares are significantly larger than those of the parties.</w:t>
      </w:r>
    </w:p>
    <w:p>
      <w:r>
        <w:t>20. Given the low market shares of the parties in the covered bonds market or in the possible sub-segmentations of this market, the notified operation is not likely to harm competition, regardless of the market segmentation considered.</w:t>
      </w:r>
    </w:p>
    <w:p>
      <w:r>
        <w:t xml:space="preserve">DECIDES  </w:t>
        <w:br/>
        <w:t xml:space="preserve">Sole Article: The operation notified under number 10-0172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