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23-DCC-04 of January 3, 2023  </w:t>
        <w:br/>
        <w:t xml:space="preserve">regarding the exclusive control acquisition of the company CS Group by the  </w:t>
        <w:br/>
        <w:t xml:space="preserve">company Sopra Steria Group  </w:t>
        <w:br/>
        <w:t xml:space="preserve">The Competition Authority,  </w:t>
        <w:br/>
        <w:t xml:space="preserve">Having regard to the complete notification file submitted to the mergers department on December 16,  </w:t>
        <w:br/>
        <w:t xml:space="preserve">2022, concerning the exclusive control acquisition of the company CS Group by the company Sopra Steria  </w:t>
        <w:br/>
        <w:t xml:space="preserve">Group, formalized by a share transfer and acquisition agreement dated November 18,  </w:t>
        <w:br/>
        <w:t xml:space="preserve">2022, and three share block sale promises dated July 27,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CS Group by the  </w:t>
        <w:br/>
        <w:t xml:space="preserve">company Sopra Steria Group, both active in the information technology services sector.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22-299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