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https://www.autoritedelaconcurrence.fr/fr/decision-de-controle-des-concentrations/relative-la-prise-de-controle-exclusif-de-la-societe-cwt</w:t>
      </w:r>
    </w:p>
    <w:p>
      <w:r>
        <w:t>Pages translated : 6</w:t>
      </w:r>
    </w:p>
    <w:p/>
    <w:p>
      <w:r>
        <w:rPr>
          <w:b/>
        </w:rPr>
        <w:t>[Pages 1–3]</w:t>
      </w:r>
    </w:p>
    <w:p>
      <w:r>
        <w:t xml:space="preserve">FRENCH REPUBLIC  </w:t>
        <w:br/>
        <w:t xml:space="preserve">Decision No. 15-DCC-183 of December 24, 2015  </w:t>
        <w:br/>
        <w:t xml:space="preserve">regarding the exclusive control of CWT Distribution  </w:t>
        <w:br/>
        <w:t>by Marietton Développement</w:t>
      </w:r>
    </w:p>
    <w:p>
      <w:r>
        <w:t xml:space="preserve">The Competition Authority,  </w:t>
        <w:br/>
        <w:t xml:space="preserve">Having regard to the notification file submitted to the merger service on November 18, 2015, and declared complete on November 25, 2015, regarding the exclusive control of CWT Distribution by Marietton Développement, formalized by an acquisition contract signed on November 19, 2015;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Marietton Développement is a simplified joint-stock company, the parent company of the Marietton group. Active in the business and tourism travel distribution sector, it operates as a tour operator and travel agency, with a network of 102 agencies. The group is primarily held by three blocks of shareholders: the Abitbol family (48.4%), Edmond de Rothschild Investment Partners (22.4%), and the mutual fund Siparex (11.3%). Following the operation, the financial investors are expected to hold approximately 23.5% of the capital of Marietton, and the Abitbol family approximately 35%.  </w:t>
        <w:br/>
        <w:t xml:space="preserve">2. CWT Distribution is a simplified joint-stock company owned by the Carlson WagonLit Travel group. It is active in the business and tourism travel distribution sector. It indeed operates as a travel agency under the Havas Voyages brand with a network of 335 agencies, of which 183 are owned and 152 are franchises/agents, two call centers, and a website. CWT Distribution controls the companies Comevat (50%) and SVM (25%), jointly with the La Dépêche du Midi group. Both Comevat and SVM are active in the business and tourism travel distribution sector. Comevat operates 33 physical agencies under the Havas Voyages brand and the La Dépêche Voyages brand, all located in the South-West of France. SVM operates 9 physical agencies under the Havas Voyages-Midi Libre Voyages brand and 2 agencies under the Havas Voyages-L’indépendant Voyages brand. CWT Distribution also holds a business asset for the distribution of business and tourism travel in Monaco.  </w:t>
        <w:br/>
        <w:t xml:space="preserve">3. The notified operation, formalized by an acquisition contract signed on November 19, 2015, provides for the acquisition by Marietton Développement of the entire share capital and voting rights of CWT Distribution.  </w:t>
        <w:br/>
        <w:t xml:space="preserve">4. As it results in the exclusive control of CWT Distribution by Marietton Développement, the operation constitutes a concentration within the meaning of Article L. 430-1 of the Commercial Code.  </w:t>
        <w:br/>
        <w:t>5. The concerned companies together achieve a total worldwide turnover excluding tax of more than 150 million euros (Marietton Développement: 129.1 million euros for the fiscal year ending December 31, 2014; CWT Distribution: 77.5 million euros for the same fiscal year). Each of these companies has achieved a turnover in France exceeding 50 million euros (Marietton Développement: 129.1 million euros for the fiscal year ending December 31, 2014; CWT Distribution: 77.5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6. The parties are both active in the travel agency services sector. This sector has undergone significant changes over the past ten years. The sector traditionally included three categories of players: suppliers (hotels, airlines, etc.), tour operators who build trips from the services of the former, and finally travel agencies that act as intermediaries by distributing trips to consumers. However, as described in a 2015 Xerfi study on travel agencies, there is a dual phenomenon of disintermediation linked to the development of online offers that allow consumers to directly compose their trips, and diversification, with market players engaging in both tour operator activities, travel agency activities (online and physical), supplier activities (hotels), and direct sales to consumers.  </w:t>
        <w:br/>
        <w:t xml:space="preserve">7. The constant practice of competition authorities1 considers that within the travel services sector, the upstream activity of designing-distributing leisure package trips and the downstream activity of travel agents must be distinguished. Tour operators may be present in both markets when they distribute leisure package trips in their own travel agencies.  </w:t>
        <w:br/>
        <w:t>1 See for the latest decisions of the European Commission M.5462 of March 30, 2009 (Thomas Cook Group/Gold Medal International), M.5038 of February 28, 2008 (Telefonica/Turmed/rumbo), M.4601 of May 4, 2007 (Karstadtquelle/Mytravel), and the letter from the Minister of Economy, Finance and Industry dated April 17, 2003, to the boards of CIT and Alitalia, regarding a concentration in the tourism sector.</w:t>
      </w:r>
    </w:p>
    <w:p>
      <w:r>
        <w:t xml:space="preserve">A. THE PACKAGE TRAVEL DESIGN-SALE MARKET  </w:t>
        <w:br/>
        <w:t xml:space="preserve">1. SERVICE MARKET  </w:t>
        <w:br/>
        <w:t xml:space="preserve">8. Competition authorities have considered several segmentations within the package travel design-sale market or "turnkey" travel, notably according to the destination (domestic travel, travel abroad)2 and, if the destination is abroad, according to the distance traveled (long distance, short distance)3, according to the type of vacation (sea and sun, mountain, city)4 and according to the destination country5.  </w:t>
        <w:br/>
        <w:t xml:space="preserve">9. In the present case, it is not necessary to decide on all these delimitations, as the conclusions of the competitive analysis remain unchanged regardless of the market definition adopted. Only Marietton Développement is present in the package travel design-sale market, which will be examined in terms of the vertical effects of the operation.  </w:t>
        <w:br/>
        <w:t xml:space="preserve">2. GEOGRAPHICAL MARKET  </w:t>
        <w:br/>
        <w:t xml:space="preserve">10. The decision-making practice has considered that the package travel design-sale market is of national dimension6.  </w:t>
        <w:br/>
        <w:t>11. There is no need to challenge the decision-making practice in the context of the present operation, so the analysis will be conducted at the national level.</w:t>
      </w:r>
    </w:p>
    <w:p>
      <w:r>
        <w:t xml:space="preserve">B. THE TRAVEL AGENCY SERVICES MARKET  </w:t>
        <w:br/>
        <w:t xml:space="preserve">1. SERVICE MARKET  </w:t>
        <w:br/>
        <w:t xml:space="preserve">12. The constant practice of competition authorities considers that the travel agency services market should be segmented between leisure travel and business travel7.  </w:t>
        <w:br/>
        <w:t xml:space="preserve">13. Within the leisure travel market distributed by travel agencies, the package travel market constitutes a distinct segment8. Several segmentations of this market have been considered, notably according to the destination (domestic travel, travel abroad)9 and, if the destination is abroad, according to the distance traveled (long distance, short distance)10.  </w:t>
        <w:br/>
        <w:t xml:space="preserve">2 See for the latest decisions of the Commission M.5462, M.5038, M.4601 cited above and the letter from the Minister of Economy, Finance and Industry dated April 17, 2003 cited above.  </w:t>
        <w:br/>
        <w:t xml:space="preserve">3 Ibid.  </w:t>
        <w:br/>
        <w:t xml:space="preserve">4 See the decision of the European Commission M.4601 cited above, the decision M.1524 of September 22, 1999 (Airtours/First Choice), and the letter from the Minister of Economy, Finance and Industry dated May 17, 2006 to the boards of Caisse des Dépôts et Consignations and Finama, regarding a concentration in the tourism residences sector C2006-17.  </w:t>
        <w:br/>
        <w:t xml:space="preserve">5 See the decision M.1524 cited above, the letter from the Minister of Economy, Finance and Industry dated April 17, 2003, the letter from the Minister of Economy, Finance and Industry dated January 16, 2007, the letter from the Minister of Economy, Finance and Industry dated May 17, 2006 cited above.  </w:t>
        <w:br/>
        <w:t xml:space="preserve">6 See for the latest decisions of the Commission M.5462, M.5038, M.4601 cited above, the letter from the Minister of Economy, Finance and Industry dated May 17, 2006 cited above.  </w:t>
        <w:br/>
        <w:t xml:space="preserve">7 See for the latest decisions of the Commission M.7358, M.7238, M.6163 cited above.  </w:t>
        <w:br/>
        <w:t xml:space="preserve">8 Ibid.  </w:t>
        <w:br/>
        <w:t>9 See the decision M.7358 cited above.</w:t>
      </w:r>
    </w:p>
    <w:p>
      <w:r>
        <w:rPr>
          <w:b/>
        </w:rPr>
        <w:t>[Pages 4–6]</w:t>
      </w:r>
    </w:p>
    <w:p>
      <w:r>
        <w:t>distance)10, according to the type of vacation (sea and sun, mountain, city)11 and according to the destination country.</w:t>
      </w:r>
    </w:p>
    <w:p>
      <w:r>
        <w:t>14. Within the business travel market distributed by travel agencies, a segmentation according to clientele has been considered (SMEs/SMIs, large accounts)12. It has also been considered to distinguish based on the distribution channel (online or through physical agencies), with the question of substitutability between these two circuits being left open13. While leaving the question open, the European Commission also considered taking into account the competitive pressure exerted by the direct sale of package tours by tour operators on the package tour distribution market by travel agencies14.</w:t>
      </w:r>
    </w:p>
    <w:p>
      <w:r>
        <w:t>15. In this case, the parties are active in the leisure travel and business travel markets. The activities of the parties do not result in overlaps in the market for travel services distributed online, with only CWT Distribution being active in this segment.</w:t>
      </w:r>
    </w:p>
    <w:p>
      <w:r>
        <w:t>16. In the present case, it is not necessary to decide on all these delimitations, as the conclusions of the competitive analysis remain unchanged regardless of the market definition adopted.</w:t>
      </w:r>
    </w:p>
    <w:p>
      <w:r>
        <w:t>2. GEOGRAPHICAL MARKET</w:t>
      </w:r>
    </w:p>
    <w:p>
      <w:r>
        <w:t>17. The decisional practice has considered that the market for travel agency services is of national dimension15.</w:t>
      </w:r>
    </w:p>
    <w:p>
      <w:r>
        <w:t>18. There is no reason to challenge the decisional practice in the context of the present operation, and the analysis will therefore be conducted at the national level.</w:t>
      </w:r>
    </w:p>
    <w:p>
      <w:r>
        <w:t>III. Competitive Analysis</w:t>
      </w:r>
    </w:p>
    <w:p>
      <w:r>
        <w:t>19. Since the CWT Distribution network relies in part on franchised agencies, it is necessary to determine whether these agencies have sufficient commercial autonomy from the network head to exert competitive pressure on the integrated stores or whether, on the contrary, they should be taken into account for the purpose of analyzing the market power of the parties16.</w:t>
      </w:r>
    </w:p>
    <w:p>
      <w:r>
        <w:t>20. In this case, the analysis of the contractual clauses has concluded that the CWT Distribution franchisees do not have sufficient commercial autonomy. Indeed, the franchise contracts of CWT Distribution, which are of relatively long duration (five years), provide for a supply obligation of 80% from CWT Distribution, as well as preference and approval clauses in the event of the agency's transfer to the benefit of CWT Distribution. Furthermore, the contracts contain an obligation to participate in all advertising and promotional operations. Consequently, the franchised agencies will be integrated into the market shares of the parties for the analysis of the effects of the present operation.</w:t>
      </w:r>
    </w:p>
    <w:p>
      <w:r>
        <w:t>1. ANALYSIS OF HORIZONTAL EFFECTS ON THE TRAVEL AGENCY SERVICES MARKET</w:t>
      </w:r>
    </w:p>
    <w:p>
      <w:r>
        <w:t>21. In the overall national market for travel agency services, the parties hold a combined market share of less than 10%17, regardless of the distribution channel.</w:t>
      </w:r>
    </w:p>
    <w:p>
      <w:r>
        <w:t>22. In the business travel market, the parties hold a combined market share of less than 10%, regardless of the distribution channel. In the segment of business travel for SMEs/SMIs, the market share rises to 16.4% (16.1% for physical agencies only). The new entity will face competition from AS Selectour (estimated market share of 35%), Tourcom (estimated market share of 24.8%), Manor (estimated market share of 11.6%) as well as Egencia, 3Mundi, and Fram Affaires.</w:t>
      </w:r>
    </w:p>
    <w:p>
      <w:r>
        <w:t>23. In the leisure travel market, the market share of the new entity is 5.2%, and in the segment of leisure travel distributed through physical agencies, the market share of the new entity is 13.2%. In the segment of non-package leisure travel, the market share of the new entity is less than 10%, regardless of the distribution channel. In the package travel segment, the parties hold a combined market share of 6% and 12% for distribution through physical agencies.</w:t>
      </w:r>
    </w:p>
    <w:p>
      <w:r>
        <w:t>24. The notifying party argues that the leisure travel market is fragmented and a large number of players are present in the market, the main ones being Afat Selectour, Nouvelles Frontières/Marmara, Thomas Cook, Leclerc Voyages, Carrefour Voyages, Manor, Go Voyages, and Voyages sncf.com.</w:t>
      </w:r>
    </w:p>
    <w:p>
      <w:r>
        <w:t>25. Consequently, the operation is not likely to harm competition in the travel agency services market.</w:t>
      </w:r>
    </w:p>
    <w:p>
      <w:r>
        <w:t>2. ANALYSIS OF VERTICAL EFFECTS</w:t>
      </w:r>
    </w:p>
    <w:p>
      <w:r>
        <w:t>26. A vertical concentration can restrict competition by making access to the markets where the new entity will be active more difficult, potentially driving out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The decisional practice generally dismisses lock-in risks when the share of the company resulting from the operation in the relevant markets does not exceed 30%.</w:t>
      </w:r>
    </w:p>
    <w:p>
      <w:r>
        <w:t>27. In this case, Marietton Développement is present in the upstream market for the design-sale of package tours while the parties are simultaneously present in the downstream market for the distribution of package tours by agencies.</w:t>
      </w:r>
    </w:p>
    <w:p>
      <w:r>
        <w:t>28. However, the notifying party estimates that, in the upstream market for the design-sale of package tours, the market share of Marietton Développement is less than 5%, regardless of the segment considered. In the overall downstream market for the distribution of package tours by travel agencies, the notifying party estimates that the combined market share of the parties is less than 15%, regardless of the segment considered.</w:t>
      </w:r>
    </w:p>
    <w:p>
      <w:r>
        <w:t>29. The operation is therefore not likely to harm competition through vertical effects between the market for the design-sale of package tours and the market for the distribution of package tours by agencies.</w:t>
      </w:r>
    </w:p>
    <w:p>
      <w:r>
        <w:t>DECIDES</w:t>
      </w:r>
    </w:p>
    <w:p>
      <w:r>
        <w:t>Sole Article: The operation notified under number 15-189 is authorized.</w:t>
      </w:r>
    </w:p>
    <w:p>
      <w:r>
        <w:t>The Vice-President,</w:t>
        <w:br/>
        <w:t>Claire Favre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