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https://www.autoritedelaconcurrence.fr/fr/decision-de-controle-des-concentrations/relative-la-prise-de-controle-exclusif-de-la-societe-cynell</w:t>
      </w:r>
    </w:p>
    <w:p>
      <w:r>
        <w:t>Pages translated : 5</w:t>
      </w:r>
    </w:p>
    <w:p/>
    <w:p>
      <w:r>
        <w:rPr>
          <w:b/>
        </w:rPr>
        <w:t>[Pages 1–3]</w:t>
      </w:r>
    </w:p>
    <w:p>
      <w:r>
        <w:t xml:space="preserve">FRENCH REPUBLIC  </w:t>
        <w:br/>
        <w:t xml:space="preserve">Decision No. 10-DCC-29 of March 30, 2010  </w:t>
        <w:br/>
        <w:t xml:space="preserve">regarding the exclusive control of the company Cynell S.A.  </w:t>
        <w:br/>
        <w:t>by the company ITM Entreprises</w:t>
      </w:r>
    </w:p>
    <w:p>
      <w:r>
        <w:t xml:space="preserve">The Competition Authority,  </w:t>
        <w:br/>
        <w:t xml:space="preserve">Having regard to the notification file submitted in full to the merger service on February 25, 2010, regarding the acquisition of the company Cynell S.A by the company ITM Alimentaire Région Parisienne, formalized by a transfer protocol signed on December 14, 2009;  </w:t>
        <w:br/>
        <w:t xml:space="preserve">Having regard to Book IV of the Commercial Code relating to the freedom of prices and competition, and in particular its Articles L. 430-1 to L. 430-7;  </w:t>
        <w:br/>
        <w:t>Adopts the following decision:</w:t>
      </w:r>
    </w:p>
    <w:p>
      <w:r>
        <w:t xml:space="preserve">I. The concerned companies and the operation  </w:t>
        <w:br/>
        <w:t>1. The company ITM Entreprises, 100% controlled by the Société civile des Mousquetaires, itself held by 1,330 individuals known as "associated members," leads and animates the network of independent merchants known as the "Groupement des Mousquetaires." As a franchisor, the company ITM Entreprises has as its main activity the management of a network of sales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sales outlets. ITM Entreprises also provides its franchisees with various services for prospecting, consulting, training, etc. Finally, ITM Entreprises offers franchisees the opportunity to benefit from advantageous supply conditions with its national and regional subsidiaries as well as with external suppliers referenced outside the "Groupement des Mousquetaires." The ITM Entreprises group achieved a total turnover excluding taxes of [20-30] billion euros during the last financial year ending December 31, 2008, of which [15-25] billion was in France.</w:t>
      </w:r>
    </w:p>
    <w:p>
      <w:r>
        <w:t xml:space="preserve">2. The company ITM Alimentaire Région Parisienne is a French law company owned at [&gt;50]% by the company ITM Alimentaire France, which is itself owned by the company ITM Entreprises, and at [&lt;50]% by the company ITM Entreprises.  </w:t>
        <w:br/>
        <w:t xml:space="preserve">3. The company Cynell S.A (hereinafter "Cynell") is a French law company whose exclusive purpose is the operation of a food-dominant store under the Intermarché brand located in Sotteville-lès-Rouen (76). As such, the company Cynell has signed a membership contract as well as a brand contract with the company ITM Entreprises. The capital of the company Cynell is currently held at more than [&gt;50]% in full ownership by Mr. and Mrs. X, their relatives, and the company SAS Cinebell (hereinafter "Cinebell")1, at less than [&lt;35]% in usufruct by Mr. X, at less than [&lt;35]% in bare ownership by the company ITM Alimentaire Région Parisienne, a subsidiary of ITM Entreprises, and at less than [&lt;0.5]% by the company ITM Entreprises.  </w:t>
        <w:br/>
        <w:t xml:space="preserve">4. This participation enables the company ITM Entreprises to block any change of brand of the company Cynell, both during the duration of the membership and brand contracts, and upon their expiration. Indeed, even if Mr. X exercises alone, in ordinary general meetings, the voting rights attached to the shares of which he has usufruct, ITM Alimentaire Région Parisienne retains, in extraordinary general meetings, the voting rights attached to the shares it holds in bare ownership. In these extraordinary general meetings, all decisions must be taken by a two-thirds majority or by unanimous vote of the partners present or represented. ITM Alimentaire Région Parisienne therefore holds a veto right over any modification of the statutory provisions. It is explicitly provided in the statutes that the store in Sotteville-lès-Rouen is operated under the Intermarché brand: "This company has as its exclusive purpose the operation of a business of the 'supermarket' type located in Sotteville-lès-Rouen (76300) [...] under the Intermarché brand [...]" (Article 2 of the statutes).  </w:t>
        <w:br/>
        <w:t xml:space="preserve">5. Furthermore, under the membership contract signed between the franchisee and the franchisor for a duration of 10 years (renewable by tacit agreement for a duration of 10 years), ITM Entreprises has an absolute right of preemption in the event that Mr. and Mrs. X, their relatives, or the company Cinebell wish to sell all or part of their shares. Finally, in the event of disagreement on the sale price of the shares, both parties must resort to an expertise procedure.  </w:t>
        <w:br/>
        <w:t xml:space="preserve">6. It follows from the above that prior to the operation, ITM Entreprises already jointly exercises control of the company Cynell with Mr. and Mrs. X. The total worldwide turnover excluding taxes achieved by the company Cynell in 2008, the last closed financial year, amounts to 20.3 million euros, generated exclusively in France.  </w:t>
        <w:br/>
        <w:t xml:space="preserve">7. The company ITM Alimentaire Région Parisienne has committed, by a transfer agreement dated March 19, 2009, to acquire all the shares of the company Cynell held by Mr. and Mrs. X, their relatives, and the company Cinebell.  </w:t>
        <w:br/>
        <w:t>8. The operation is analyzed as the transition from joint control of ITM Entreprises and Mr. and Mrs. X to exclusive control of ITM Entreprises via its subsidiary ITM Alimentaire Région Parisienne over the company Cynell. It constitutes a concentration within the meaning of Article L. 430-1 of the Commercial Code. Given the turnover figures of the concerned companies, it does not have a community dimension. On the other hand, the control thresholds related to retail trade mentioned in point II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9. According to the consistent practice of national and community competition authorities, two categories of markets can be delineated in the food-dominated distribution sector. These are, on the one hand, the "downstream" markets, of local dimension, which bring together retail businesses and consumers for the sale of consumer goods and, on the other hand, the "upstream" markets for the supply of retail businesses with everyday consumer goods, of national dimension.</w:t>
      </w:r>
    </w:p>
    <w:p>
      <w:r>
        <w:t xml:space="preserve">A. DOWNSTREAM DISTRIBUTION MARKETS  </w:t>
        <w:br/>
        <w:t xml:space="preserve">1. SERVICE MARKETS  </w:t>
        <w:br/>
        <w:t xml:space="preserve">10. Regarding the retail sale of everyday consumer goods, both community and national competition authorities have distinguished six categories of commerce using several criteria, including the size of the stores, their sales techniques, their accessibility, the nature of the service provided, and the range of products offered: (i) hypermarkets, (ii) supermarkets, (iii) specialized trade, (iv) small retail trade, (v) large discounters, (vi) mail order sales.  </w:t>
        <w:br/>
        <w:t xml:space="preserve">11. Supermarkets are usually defined as food-dominant stores with a sales area of less than 2,500 m2 and more than 400 m2. However, it should be noted that these thresholds must be used with caution and may be adapted to the specific case, considering that stores whose area is close to a threshold, either below or above, may be in direct competition in practice.  </w:t>
        <w:br/>
        <w:t>12. In this case, the acquired store currently occupies a sales area of 2,000 m2. This store therefore falls into the category of supermarkets.</w:t>
      </w:r>
    </w:p>
    <w:p>
      <w:r>
        <w:rPr>
          <w:b/>
        </w:rPr>
        <w:t>[Pages 4–5]</w:t>
      </w:r>
    </w:p>
    <w:p>
      <w:r>
        <w:t xml:space="preserve">2. GEOGRAPHICAL DELIMITATION  </w:t>
        <w:br/>
        <w:t xml:space="preserve">13. In its recent decisions concerning operations involving hypermarkets or supermarkets with a predominant food focus, the Competition Authority has reiterated that, depending on the size of the stores involved, the conditions of competition should be assessed in two different zones:  </w:t>
        <w:br/>
        <w:t xml:space="preserve">- a first zone where the demand of consumers from an area meets the supply of hypermarkets accessible to them within less than 30 minutes by car and which are, from their point of view, substitutable with each other;  </w:t>
        <w:br/>
        <w:t xml:space="preserve">- a second zone where the demand of consumers meets the supply of supermarkets and other equivalent forms of commerce, located within less than 15 minutes of travel time by car. These latter forms of commerce may include, in addition to supermarkets, hypermarkets and discount stores.  </w:t>
        <w:br/>
        <w:t xml:space="preserve">14. Other criteria may nevertheless be taken into account to evaluate the impact of a concentration on the competitive situation in retail distribution markets, which may lead to refining, in the specific case, the usual delimitations presented above.  </w:t>
        <w:br/>
        <w:t xml:space="preserve">15. The store concerned by the operation, occupying a sales area of less than 2,500 m² and falling into the category of supermarkets, the competitive analysis will only focus on the second market, that is to say, the market including all hypermarkets, supermarkets, and maxi-discount stores located within a 15-minute catchment area around Sotteville-lès-Rouen (76300).  </w:t>
        <w:br/>
        <w:t xml:space="preserve">B. UPSTREAM SUPPLY MARKETS  </w:t>
        <w:br/>
        <w:t xml:space="preserve">16. Regarding the supply markets, the European Commission has recognized the existence of markets of national dimension by major product groups, a delimitation followed by national authorities.  </w:t>
        <w:br/>
        <w:t xml:space="preserve">17. There is no reason to challenge this delimitation in the context of the present operation.  </w:t>
        <w:br/>
        <w:t xml:space="preserve">III. Competitive Analysis  </w:t>
        <w:br/>
        <w:t xml:space="preserve">1. DOWNSTREAM MARKETS OF FOOD DISTRIBUTION  </w:t>
        <w:br/>
        <w:t xml:space="preserve">18. In the downstream market of food distribution, including hypermarkets, supermarkets, and maxi-discount stores within a 15-minute catchment area around Sotteville-lès-Rouen, the Intermarché operated by the company Cynell represents just over 3% of the sales areas. In the same area, seven other points of sale are operated under the Intermarché brand, totaling, before and after the operation, 21% of the market shares calculated in sales area, according to estimates provided by the parties. In this area, these stores face intense competition, notably from stores operated under the Casino group brands (35% of cumulative market shares), Leclerc hypermarkets (23% of cumulative market shares), and also from stores operated under the Carrefour group brands (11% market share).  </w:t>
        <w:br/>
        <w:t xml:space="preserve">19. Consequently, the operation is not likely to harm competition in the market considered.  </w:t>
        <w:br/>
        <w:t xml:space="preserve">2. UPSTREAM SUPPLY MARKETS  </w:t>
        <w:br/>
        <w:t xml:space="preserve">20. Regarding the upstream supply markets, the operation, which concerns only one store, is not likely to significantly strengthen the purchasing power of the ITM Entreprises group, across all products as well as by major product groups.  </w:t>
        <w:br/>
        <w:t xml:space="preserve">DECIDES  </w:t>
        <w:br/>
        <w:t xml:space="preserve">Sole Article: The operation notified under number 10-0020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