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https://www.autoritedelaconcurrence.fr/fr/decision-de-controle-des-concentrations/relative-la-prise-de-controle-exclusif-de-la-societe-dagard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13-DCC-168 of December 5, 2013  </w:t>
        <w:br/>
        <w:t xml:space="preserve">regarding the exclusive control acquisition of the company Dagard  </w:t>
        <w:br/>
        <w:t xml:space="preserve">by Initiative &amp; Finance Gestion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7, 2013, concerning the exclusive control acquisition of the company Dagard by the company  </w:t>
        <w:br/>
        <w:t xml:space="preserve">Initiative &amp; Finance Gestion, formalized by an acquisition agreement dated  </w:t>
        <w:br/>
        <w:t xml:space="preserve">October 30, 2013;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Dagard, specialized  </w:t>
        <w:br/>
        <w:t xml:space="preserve">in the manufacturing and sale of sandwich panels and clean panels, by the management company  </w:t>
        <w:br/>
        <w:t xml:space="preserve">Initiative &amp; Finance Gestion. It constitutes a concentration operation within the meaning  </w:t>
        <w:br/>
        <w:t xml:space="preserve">of Article L. 430-1 of the Commercial Code. Given the turnover achieved by the  </w:t>
        <w:br/>
        <w:t xml:space="preserve">concerned companies, the operation does not have a community dimension. On the other hand,  </w:t>
        <w:br/>
        <w:t xml:space="preserve">the control thresholds mentioned in point I of Article L. 430-2 of the Commercial Code are  </w:t>
        <w:br/>
        <w:t xml:space="preserve">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13-187 is authorized.  </w:t>
        <w:br/>
        <w:t xml:space="preserve">The Vice-President,  </w:t>
        <w:br/>
        <w:t xml:space="preserve">Élisabeth Flüry-Hérard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