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https://www.autoritedelaconcurrence.fr/fr/decision-de-controle-des-concentrations/relative-la-prise-de-controle-exclusif-de-la-societe-damylu</w:t>
      </w:r>
    </w:p>
    <w:p>
      <w:r>
        <w:t>Pages translated : 2</w:t>
      </w:r>
    </w:p>
    <w:p/>
    <w:p>
      <w:r>
        <w:rPr>
          <w:b/>
        </w:rPr>
        <w:t>[Pages 1–2]</w:t>
      </w:r>
    </w:p>
    <w:p>
      <w:r>
        <w:t xml:space="preserve">FRENCH REPUBLIC  </w:t>
        <w:br/>
        <w:t xml:space="preserve">Decision No. 14-DCC-158 of November 5, 2014  </w:t>
        <w:br/>
        <w:t xml:space="preserve">regarding the exclusive control acquisition of the company Damylu  </w:t>
        <w:br/>
        <w:t xml:space="preserve">by the company ITM Alimentaire Nord  </w:t>
        <w:br/>
        <w:t>The Competition Authority,</w:t>
      </w:r>
    </w:p>
    <w:p>
      <w:r>
        <w:t>Having regard to the complete notification file submitted to the mergers department on October 7, 2014, concerning the exclusive control acquisition of the company Damylu by the company ITM Alimentaire Nord, and formalized by a share transfer agreement dated July 30, 2014;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Damylu, operating a supermarket-type business predominantly focused on food under the Intermarché brand in the city of Marles les Mines (62), by the company ITM Alimentaire Nord, a subsidiary of ITM Entreprise.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14-177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