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16-DCC-142 of September 14, 2016  </w:t>
        <w:br/>
        <w:t xml:space="preserve">regarding the exclusive control acquisition of the company DB Allinges by  </w:t>
        <w:br/>
        <w:t xml:space="preserve">ITM Alimentaire Centre Est  </w:t>
        <w:br/>
        <w:t xml:space="preserve">The Competition Authority,  </w:t>
        <w:br/>
        <w:t xml:space="preserve">Having regard to the complete notification file submitted to the mergers department on August 25, 2016,  </w:t>
        <w:br/>
        <w:t xml:space="preserve">concerning the exclusive control acquisition of the company DB Allinges by the company ITM Alimentaire  </w:t>
        <w:br/>
        <w:t xml:space="preserve">Centre Est, formalized by a letter of option exercise dated July 7,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DB Allinges, which  </w:t>
        <w:br/>
        <w:t xml:space="preserve">operates a food-dominant retail outlet under the brand Intermarché in the city  </w:t>
        <w:br/>
        <w:t xml:space="preserve">of Allinges (74), by the company ITM Alimentaire Centre Est. This operation constitutes a  </w:t>
        <w:br/>
        <w:t xml:space="preserve">merger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retail control thresholds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16-165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