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https://www.autoritedelaconcurrence.fr/fr/decision-de-controle-des-concentrations/relative-la-prise-de-controle-exclusif-de-la-societe-de-0</w:t>
      </w:r>
    </w:p>
    <w:p>
      <w:r>
        <w:t>Pages translated : 5</w:t>
      </w:r>
    </w:p>
    <w:p/>
    <w:p>
      <w:r>
        <w:rPr>
          <w:b/>
        </w:rPr>
        <w:t>[Pages 1–3]</w:t>
      </w:r>
    </w:p>
    <w:p>
      <w:r>
        <w:t xml:space="preserve">FRENCH REPUBLIC  </w:t>
        <w:br/>
        <w:t xml:space="preserve">Decision No. 14-DCC-67 of May 19, 2014  </w:t>
        <w:br/>
        <w:t xml:space="preserve">regarding the exclusive control of Société de la Tour Eiffel  </w:t>
        <w:br/>
        <w:t>by Mutuelle d’Assurance du Bâtiment et des Travaux Publics</w:t>
      </w:r>
    </w:p>
    <w:p>
      <w:r>
        <w:t xml:space="preserve">The Competition Authority,  </w:t>
        <w:br/>
        <w:t xml:space="preserve">Having regard to the notification file submitted in full to the concentrations service on April 9, 2014, regarding the exclusive control of Société de la Tour Eiffel by Mutuelle d’Assurance du Bâtiment et des Travaux Publics, formalized by a public tender offer filed with the Autorité des Marchés Financiers on January 29 and March 4, 2014, as well as by an increased public tender offer dated April 16, 2014;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1. Mutuelle d’Assurance du Bâtiment et des Travaux Publics (hereinafter "SMABTP") is a mutual insurance company with variable contributions governed by the Insurance Code, which covers a range of risks (ten-year liability, social risks, general liability, property damage, damage to goods) for professionals in the construction and public works sectors. SMABTP is affiliated with SGAM BTP, a mutual insurance group company within the meaning of Article L. 322-1-2 of the Insurance Code. It brings together mutual insurance companies governed by the Insurance Code: SMABTP, Auxiliaire Mutuelle d’Assurance des Professionnels du Bâtiment et des Travaux Publics, CAM BTP, SMAVie BTP, and Auxiliaire Vie.</w:t>
      </w:r>
    </w:p>
    <w:p>
      <w:r>
        <w:t>2. Société de la Tour Eiffel1 (hereinafter "STE") is a Listed Real Estate Investment Company (hereinafter "SIIC") on compartment B of the Euronext Paris market. STE is exclusively active in the market for the proprietary management of real estate assets for office use, business parks, warehouses, and activity spaces. It controls about twenty subsidiaries, most of which are real estate civil companies.</w:t>
      </w:r>
    </w:p>
    <w:p>
      <w:r>
        <w:t>3. The notified transaction, formalized by a public tender offer dated January 29 and March 4, 2014, as well as by an increased public tender offer dated April 16, 2014, will consist of the acquisition of all shares of STE by SMABTP. As it results in the exclusive control of STE by SMABTP, the operation constitutes a concentration within the meaning of Article L. 430-1 of the Commercial Code.</w:t>
      </w:r>
    </w:p>
    <w:p>
      <w:r>
        <w:t>4. The companies concerned together achieve a total worldwide turnover of more than 150 million euros (SGAMBTP: 2.62 billion euros for the fiscal year ending December 31, 2012; STE: 82.4 million euros for the same fiscal year). They have achieved, in France, a turnover exceeding 50 million euros (SGAMBTP: 2.62 billion euros for the fiscal year ending December 31, 2012; STE: 82.4 million euros for the same fiscal year). Given these turnover figures, the operation does not fall under the jurisdiction of the European Commission.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A. THE RELEVANT SERVICE MARKETS  </w:t>
        <w:br/>
        <w:t>5. National and community competition authorities have considered, while leaving the question open, various segmentations in the real estate services sector2 (i) according to the recipients of the services, with properties intended either for individuals, in which case the buildings are for residential use, or for businesses, in which case the buildings are for commercial or professional use, (ii) the pricing method, between free residential real estate and social or intermediate housing, the latter being part of a specific regulatory framework in which the State plays an important role, both in terms of financial aid and housing allocation3, (iii) the type of activity exercised in premises (offices4, commercial premises5, and other activity premises such as warehouses or hotels6) and (iv) the nature of the services or goods offered7.</w:t>
      </w:r>
    </w:p>
    <w:p>
      <w:r>
        <w:t xml:space="preserve">6. For this last segmentation axis, the following services have been identified:  </w:t>
        <w:br/>
        <w:t xml:space="preserve">(i) real estate promotion8 which includes construction and sale activities of real estate properties;  </w:t>
        <w:br/>
        <w:t xml:space="preserve">(ii) real estate asset management for own account9;  </w:t>
        <w:br/>
        <w:t xml:space="preserve">(iii) real estate asset management for third-party accounts (institutional investors, mainly banks and insurance companies) which covers real estate portfolio advisory and management (arbitrage and asset valuation), structuring real estate investment operations, and real estate asset management and specialized investment vehicles (notably civil real estate companies);  </w:t>
        <w:br/>
        <w:t xml:space="preserve">(iv) property management which covers the activities of managing buildings on behalf of owners and can be segmented between rental management and co-ownership management;  </w:t>
        <w:br/>
        <w:t xml:space="preserve">(v) real estate appraisal;  </w:t>
        <w:br/>
        <w:t xml:space="preserve">(vi) real estate consulting;  </w:t>
        <w:br/>
        <w:t>(vii) intermediation in real estate transactions for which intermediation in purchase/sale operations is distinguished from intermediation in rental operations10.</w:t>
      </w:r>
    </w:p>
    <w:p>
      <w:r>
        <w:t xml:space="preserve">7. In this case, the parties to the operation are simultaneously active in the market for the proprietary management of real estate assets for office use.  </w:t>
        <w:br/>
        <w:t xml:space="preserve">B. THE GEOGRAPHICAL MARKETS  </w:t>
        <w:br/>
        <w:t>8. French and community competition authorities have considered that the markets related to the real estate sector are of a local dimension, while leaving the question open.11</w:t>
      </w:r>
    </w:p>
    <w:p>
      <w:r>
        <w:t xml:space="preserve">9. For the Île-de-France region, the Minister of Economy noted that "the Paris region has particular properties of continuity of urban areas. Indeed, there exists a...  </w:t>
        <w:br/>
        <w:t xml:space="preserve">4 See Decision C2003-66 / Letter from the Minister of Economy, Finance and Industry dated April 17, 2003, to the advisors of CBRE Holding Inc. regarding a concentration in the real estate services sector for which a market for office brokerage was considered, BOCCRF No. 2003-11.  </w:t>
        <w:br/>
        <w:t xml:space="preserve">5 See Decision C2004-123 – Letter from the Minister of Economy, Finance and Industry dated July 22, 2004, to the advisors of Immobiliaria Colonial SA regarding a concentration in the commercial premises rental sector, BOCCRF No. 2005-09.  </w:t>
        <w:br/>
        <w:t xml:space="preserve">6 See the European Commission Decision COMP/M.2863 Morgan Stanley / Olivetti / Telecom Italia / Tiglio dated August 30, 2002.  </w:t>
        <w:br/>
        <w:t xml:space="preserve">7 See Decisions C2005-126 / Letter from the Minister of Economy, Finance and Industry dated January 25, 2006, to the advisors of Perexia regarding a concentration in the real estate services sector, BOCCRF No. 6 of June 21, 2006 and C2004-79 / Letter from the Minister of State, Minister of Economy, Finance and Industry dated June 28, 2004, to the advisors of the Caisse d’Épargne group regarding a concentration in the banking sector, BOCCRF No. 2005-09 as well as the European Commission Decision COMP/M.3370 BNP Paribas/ARI dated March 9, 2004.  </w:t>
        <w:br/>
        <w:t xml:space="preserve">8 See Decision C2007-166 / Letter from the Minister of Economy, Finance and Employment dated December 20, 2007, to the advisors of the Nexity group, regarding a concentration in the real estate promotion sector, BOCCRF No. 2 bis of February 28, 2008.  </w:t>
        <w:br/>
        <w:t xml:space="preserve">9 See the aforementioned Decisions C2005-126 and C2007-45 / Letter from the Minister of Economy, Finance and Industry dated May 10, 2007, to the advisors of Lehman Brothers, regarding a concentration in the real estate sector, BOCCRF No. 7 bis of September 14, 2007.  </w:t>
        <w:br/>
        <w:t xml:space="preserve">10 See the aforementioned Decision C2005-126.  </w:t>
        <w:br/>
        <w:t>11 See in particular the aforementioned Decisions No. 09-DCC-16 and C2005-108 / Letter from the Minister of Economy, Finance and Industry dated November 25, 2005, to the advisors of Foncière des Régions regarding a concentration in the real estate sector, BOCCRF No. 6 bis of June 21, 2006 as well as the aforementioned Commission Decision M. 2825.</w:t>
      </w:r>
    </w:p>
    <w:p>
      <w:r>
        <w:rPr>
          <w:b/>
        </w:rPr>
        <w:t>[Pages 4–5]</w:t>
      </w:r>
    </w:p>
    <w:p>
      <w:r>
        <w:t>vast, highly urbanized, and homogeneous area covering the majority of Île-de-France, served by a comprehensive transport network; residents are always able to choose between different parts of the region. This substitutability leads to a convergence in prices. Therefore, the regional level is the most appropriate for competitive analysis."12 For other regions, competition authorities have conducted their competitive analyses at the regional or sub-regional level.</w:t>
      </w:r>
    </w:p>
    <w:p>
      <w:r>
        <w:t>10. The parties to the present operation are simultaneously active in the market for the proprietary management of real estate assets for office use in Île-de-France, specifically in Paris (75), Yvelines (78), Hauts-de-Seine (92), Seine-Saint-Denis (93), and Val-d’Oise (95). The analysis of the effects of the operation will therefore be conducted at the level of the Île-de-France region and at the departmental level.</w:t>
      </w:r>
    </w:p>
    <w:p>
      <w:r>
        <w:t>11. The question of the exact delimitation of product and geographical markets in the real estate sector may, however, be left open insofar as the conclusions of the competitive analysis of the present operation would remain unchanged regardless of the solutions adopted.</w:t>
      </w:r>
    </w:p>
    <w:p>
      <w:r>
        <w:t>III. Competitive Analysis</w:t>
      </w:r>
    </w:p>
    <w:p>
      <w:r>
        <w:t>12. The notifying party estimated the size of the market for proprietary office management at 165 million m² at the national level and 50 million m² in the Île-de-France region. In France, SGAMBTP and STE manage respectively […] m² and […] m² of offices, including respectively […] m² and […] m² in the Paris region, totaling less than 0.25% of the national market and 0.8% in the Île-de-France region.</w:t>
      </w:r>
    </w:p>
    <w:p>
      <w:r>
        <w:t>13. At the departmental level, the notifying party estimated the size of the market at 16 million m² in Paris (75), 11.5 million m² in Hauts-de-Seine (92), 5 million m² in Yvelines (78), 5.5 million m² in Seine-Saint-Denis (93), and 3.6 million m² in Val-d’Oise (95). In these markets, the new entity estimated its market share to be less than 0.4% in Paris and less than 1.5% in the other departments.</w:t>
      </w:r>
    </w:p>
    <w:p>
      <w:r>
        <w:t>14. Furthermore, the markets for proprietary office management are highly fragmented, and the merged entity will face competition from numerous operators such as real estate companies, notably the SIICs Gecina, Icade, Unibail, Société Foncière Lyonnaise, or Klépierre, as well as insurance companies, investment funds, and banks.</w:t>
      </w:r>
    </w:p>
    <w:p>
      <w:r>
        <w:t>15. Consequently, the present operation is not likely to harm competition in the relevant markets.</w:t>
      </w:r>
    </w:p>
    <w:p>
      <w:r>
        <w:t>12 See decision C2006-151/ Letter from the Minister of Economy, Finance and Industry dated January 10, 2007, to the board of the Société Nationale Immobilière group, regarding a concentration in the sector of development and management of real estate parks primarily for residential purposes, BOCCRF No. 3 bis of March 23, 2007.</w:t>
      </w:r>
    </w:p>
    <w:p>
      <w:r>
        <w:t>DECIDES</w:t>
      </w:r>
    </w:p>
    <w:p>
      <w:r>
        <w:t>Sole Article: The operation notified under number 14-016 is authorized.</w:t>
      </w:r>
    </w:p>
    <w:p>
      <w: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