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https://www.autoritedelaconcurrence.fr/fr/decision-de-controle-des-concentrations/relative-la-prise-de-controle-exclusif-de-la-societe-de-1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15-DCC-181 of December 18, 2015  </w:t>
        <w:br/>
        <w:t xml:space="preserve">regarding the exclusive control acquisition of the company De la Vallée by  </w:t>
        <w:br/>
        <w:t>Système U Centrale Régionale Nord Ouest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November 25, 2015, concerning the exclusive control acquisition by Système U Centrale Régionale  </w:t>
        <w:br/>
        <w:t xml:space="preserve">Nord-Ouest of the company De la Vallée, materialized by a synallagmatic promise of  </w:t>
        <w:br/>
        <w:t>share transfer dated October 16, 2015;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De la Vallée,  </w:t>
        <w:br/>
        <w:t xml:space="preserve">owner of a food-dominant point of sale under the Super U brand in the city of Maromme (76), by  </w:t>
        <w:br/>
        <w:t xml:space="preserve">Système U Centrale Régionale Nord-Ouest. This operation constitutes a concentration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On the other hand, the control thresholds  </w:t>
        <w:br/>
        <w:t xml:space="preserve">related to retail trade 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>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15-222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