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https://www.autoritedelaconcurrence.fr/fr/decision-de-controle-des-concentrations/relative-la-prise-de-controle-exclusif-de-la-societe-de-3</w:t>
      </w:r>
    </w:p>
    <w:p>
      <w:r>
        <w:t>Pages translated : 7</w:t>
      </w:r>
    </w:p>
    <w:p/>
    <w:p>
      <w:r>
        <w:rPr>
          <w:b/>
        </w:rPr>
        <w:t>[Pages 1–3]</w:t>
      </w:r>
    </w:p>
    <w:p>
      <w:r>
        <w:t xml:space="preserve">FRENCH REPUBLIC  </w:t>
        <w:br/>
        <w:t xml:space="preserve">Decision No. 19-DCC-170 of September 17, 2019  </w:t>
        <w:br/>
        <w:t>regarding the exclusive control of the Maritime Handling and Shipping Company by Terminal Investment Limited</w:t>
      </w:r>
    </w:p>
    <w:p>
      <w:r>
        <w:t xml:space="preserve">The Competition Authority,  </w:t>
        <w:br/>
        <w:t xml:space="preserve">Having regard to the notification file submitted in full to the merger service on August 12, 2019, regarding the exclusive control of the Maritime Handling and Shipping Company by Terminal Investment Limited, formalized by a transfer agreement dated July 4, 2019;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I. The concerned companies and the operation  </w:t>
        <w:br/>
        <w:t xml:space="preserve">1. Terminal Investment Limited (hereinafter, "TIL") develops and operates container terminals in ports around the world. TIL is a subsidiary of Terminal Investment Limited Holding SA (hereinafter, "TIL Holding"), a Luxembourg holding company of the TIL group. TIL Holding is indirectly jointly controlled by MSC Mediterranean Shipping Company Holding SA (hereinafter, "MSC") and by two investment funds managed by Global Infrastructure Management (the so-called GIP I and GIP II funds)1.  </w:t>
        <w:br/>
        <w:t>2. The Maritime Handling and Shipping Company (hereinafter, "Somacom") is a port handling company active at the Pointe-des-Galets port in Réunion. Prior to the operation, Somacom is exclusively controlled by the Maritime Financing Company. The respective holdings are […] for MSC, and […] % for GIP I and GIP II.</w:t>
      </w:r>
    </w:p>
    <w:p>
      <w:r>
        <w:t xml:space="preserve">3. The contemplated transaction, formalized by a transfer agreement dated July 4, 2019, involves the acquisition by TIL of the entire capital and voting rights of Somacom.  </w:t>
        <w:br/>
        <w:t xml:space="preserve">4. As it results in the exclusive control of Somacom by TIL, the notified transaction constitutes a concentration within the meaning of Article L. 430-1 of the Commercial Code.  </w:t>
        <w:br/>
        <w:t>5. The companies concerned together achieve a total worldwide turnover excluding tax of more than 75 million euros (TIL2: [≥ 75 million] euros for the fiscal year ending December 31, 2018; Somacom: [≤ 75 million] euros for the fiscal year ending December 31, 2018). Each of these companies has achieved, in Réunion, a turnover exceeding 15 million euros (TIL: [≥ 15 million] euros for the fiscal year ending December 31, 2018; Somacom: [≥ 15 million] euros for the fiscal year ending December 31, 2018). Given these turnover figures,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operation does not result in any overlap of activities. However, the acquirer is present in the regular maritime container transport market, which has a vertical link with the market for port handling services for containerized goods, in which Somacom is active3.  </w:t>
        <w:br/>
        <w:t xml:space="preserve">A. MARKETS FOR REGULAR MARITIME CONTAINER TRANSPORT SERVICES  </w:t>
        <w:br/>
        <w:t xml:space="preserve">1. SERVICE MARKET  </w:t>
        <w:br/>
        <w:t xml:space="preserve">7. The Competition Authority, in Decision No. 13-D-15 of June 25, 20134, distinguished the regular maritime container transport market: the service offered is considered distinct from non-regular maritime transport services or bulk cargo maritime transport services. The decision-making practice of the European Commission is similar5. Furthermore, the European Commission has considered, within this service market, a segmentation based on whether the containers are refrigerated or not, when, on a route (in both directions), at least 10% of the freight consists of refrigerated containers6.  </w:t>
        <w:br/>
        <w:t>8. In this case, the question of the exact delineation of the regular maritime container transport service market can be left open insofar as, regardless of the delineation adopted, the conclusions of the competitive analysis remain unchanged.</w:t>
      </w:r>
    </w:p>
    <w:p>
      <w:r>
        <w:t xml:space="preserve">2. GEOGRAPHIC MARKETS  </w:t>
        <w:br/>
        <w:t xml:space="preserve">9. Decision-making practice, both national and European, holds that a regular maritime transport service market is defined by route. A route connects two geographic areas, with the different routes linking these two areas being substitutable.  </w:t>
        <w:br/>
        <w:t xml:space="preserve">10. The European Commission has considered retaining a market for each direction of a route.  </w:t>
        <w:br/>
        <w:t xml:space="preserve">11. The Competition Authority has considered that in Europe, the "Northern Europe" area should be distinguished from Southern Europe7.  </w:t>
        <w:br/>
        <w:t xml:space="preserve">12. In a recent Decision No. M. 8459 of July 31, 2017 TIL / PSA / PSA DGD, concerning the same MSC group, the European Commission estimated, without deciding on the definition of the relevant markets in this case, that eleven routes could be distinguished, in line with its previous decision-making practice8: these are the routes between Northern Europe and the Australia/New Zealand, West Africa, South Africa, East Africa, Caribbean and Central America, Far East, Indian Subcontinent, Middle East, North America, East Coast of South America, and West Coast of South America.  </w:t>
        <w:br/>
        <w:t xml:space="preserve">13. In this case, for the routes that are linked to Somacom's activity, the acquirer is present at the departure/arrival of the South Africa area.  </w:t>
        <w:br/>
        <w:t xml:space="preserve">14. The question of the exact geographic delineation of the regular maritime container transport service market can nevertheless be left open insofar as, regardless of the delineation adopted, the conclusions of the competitive analysis remain unchanged.  </w:t>
        <w:br/>
        <w:t xml:space="preserve">6 Ibid.  </w:t>
        <w:br/>
        <w:t xml:space="preserve">7 In its aforementioned Decision No. 13-D-15, the Competition Authority held that the relevant market was constituted by the route connecting Northern Europe to the Antilles.  </w:t>
        <w:br/>
        <w:t>8 Ibid.</w:t>
      </w:r>
    </w:p>
    <w:p>
      <w:r>
        <w:rPr>
          <w:b/>
        </w:rPr>
        <w:t>[Pages 4–6]</w:t>
      </w:r>
    </w:p>
    <w:p>
      <w:r>
        <w:t xml:space="preserve">B. MARKETS FOR PORT CONTAINER CARGO HANDLING SERVICES  </w:t>
        <w:br/>
        <w:t xml:space="preserve">1. SERVICE MARKET  </w:t>
        <w:br/>
        <w:t xml:space="preserve">15. The decision-making practice of French9 and European10 authorities considers that the market for port handling services can be subdivided according to the three main categories of freight: i) packaged goods (in particular, containerized goods), ii) dry bulk goods, and iii) liquid bulk goods.  </w:t>
        <w:br/>
        <w:t xml:space="preserve">16. The decision-making practice has also considered the possibility of subdividing the market for port handling services for dry bulk according to the type of goods handled: large bulk (coal and iron ore), agricultural bulk (grains, seeds, etc.), and other dry bulks (zinc concentrates and other non-ferrous concentrates, cement clinkers, pig iron, kaolin, phosphates and other minerals, cokes, petroleum cokes, anthracites, etc.)11.  </w:t>
        <w:br/>
        <w:t xml:space="preserve">17. A possible distinction has also been considered between handling services by traffic flow: hinterland traffic (from or to the port's hinterland) and transshipment traffic (from one ship to another)12.  </w:t>
        <w:br/>
        <w:t xml:space="preserve">18. In this case, the question of the exact delineation of the market for port handling services can be left open insofar as, regardless of the delineation adopted, the conclusions of the competitive analysis remain unchanged.  </w:t>
        <w:br/>
        <w:t xml:space="preserve">2. GEOGRAPHIC MARKETS  </w:t>
        <w:br/>
        <w:t xml:space="preserve">19. Competition authorities13 define different geographic markets for the hinterland14 and transshipment. The method consists of identifying the ports that together form a geographic territory where the competitive conditions are sufficiently homogeneous to be distinguished from neighboring areas. For the hinterland, it is necessary to examine which commercial ports share a common hinterland with the one concerned by the operation. For transshipment, the geographic dimension retained is generally broader.  </w:t>
        <w:br/>
        <w:t xml:space="preserve">9 Decisions of the Competition Authority n° 13-DCC-64 of June 5, 2013, regarding the creation of a joint venture by the Arterris and Axéréal groups, and n° 18-DCC-16 of January 17, 2018, regarding the transition from exclusive control by the Perrigault group to joint control with TIL of the Porte Océane terminal at the port of Le Havre. See also the letter C2006-49 from the Minister of Finance and Industry dated May 10, 2006, to the advisors of Moller Maersk regarding a concentration in the container handling sector, and the letter from the Minister of Economy, Finance and Industry dated June 4, 2003, to the advisors of Sea-Invest regarding a concentration in the port handling sector. In decision n° 10-DCC-130 of October 7, 2010, regarding the exclusive control of assets of the Sodistock SA group by CAF Grains, a subsidiary of the Invivo group, the Competition Authority specifically considered the existence of a market for port services for grains, given the specificity of these services, the fact that they are subject to specific regulation, and the existence of providers active solely in the storage of grains in port areas. The question of the exact delineation of this market ultimately remained open.  </w:t>
        <w:br/>
        <w:t xml:space="preserve">10 See, for the most recent decisions, the decisions of the European Commission M.7268, M.7908, M.8120, M.8459, M.8594, M.9016, and M.9093 cited above.  </w:t>
        <w:br/>
        <w:t xml:space="preserve">11 Ibid.  </w:t>
        <w:br/>
        <w:t xml:space="preserve">12 Ibid.  </w:t>
        <w:br/>
        <w:t xml:space="preserve">13 Ibid.  </w:t>
        <w:br/>
        <w:t xml:space="preserve">14 The hinterland corresponds to the economic influence areas of a port, that is to say, the geographic area where goods transiting through the port can go to and come from.  </w:t>
        <w:br/>
        <w:t xml:space="preserve">20. On the occasion of decision n° 11-D-01 of January 18, 201115, the Competition Authority ruled on the geographic dimension of the market for port container handling services in Réunion. Regarding the hinterland, the market is limited to Réunion. Regarding transshipment, the market may include Mauritius.  </w:t>
        <w:br/>
        <w:t xml:space="preserve">21. In this case, Somacom is present in Réunion.  </w:t>
        <w:br/>
        <w:t xml:space="preserve">22. In any case, it is not necessary in this instance to rule on the exact geographic delineation of this service market, insofar as, regardless of the delineation adopted, the conclusions of the competitive analysis remain unchanged.  </w:t>
        <w:br/>
        <w:t xml:space="preserve">III. Competitive Analysis  </w:t>
        <w:br/>
        <w:t xml:space="preserve">23. A vertical concentration may restrict competition by making access to the markets where the new entity will be active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24. However, decision-making practice generally holds that a risk of vertical effect can be ruled out as long as the market share of the company resulting from the operation in the relevant markets does not exceed 30%.  </w:t>
        <w:br/>
        <w:t xml:space="preserve">25. In this case, considering the activities carried out by the parties, the operation is likely to generate vertical effects between the market for port handling services for containerized goods in Réunion and the market for regular maritime transport services by containers to/from South Africa.  </w:t>
        <w:br/>
        <w:t xml:space="preserve">26. In accordance with decision-making practice16, the likelihood that the operation distorts competition through vertical effects depends on the ability of the parties to effectively restrict their competitors' access to the market for regular maritime transport services by containers to port handling services for goods and/or to effectively reduce the outlets of competing handlers, the incentive of the new entity to implement such strategies, and the effects of these strategies on the markets in question. In practice, these three criteria are closely linked.  </w:t>
        <w:br/>
        <w:t xml:space="preserve">1. LOCK-IN OF ACCESS TO INPUTS  </w:t>
        <w:br/>
        <w:t xml:space="preserve">27. The new entity may wish to restrict MSC's competitors' access to the port handling services for containerized goods offered by Somacom in Réunion. However, Somacom holds a market share of less than 30% in the market for port handling of goods, regardless of the segmentation adopted, except for the market related to containerized goods in hinterland traffic where its market share is [30-40]% in Réunion. It faces competition from SAMR (market share estimated by the notifying party at [40-50]%) and SGM (market share estimated by the notifying party at [10-20]%). The ability of the new entity to implement a lock-in strategy for access to inputs is thus limited.  </w:t>
        <w:br/>
        <w:t xml:space="preserve">28. Furthermore, information provided by the notifying party indicates that Somacom's utilization rate is [confidential] and that prior to the operation, "Somacom [confidential]"17. This point has been confirmed by respondents to the market test. MSC's competitors thus have current alternatives. Such a strategy would therefore not change the current structure of the relevant markets.  </w:t>
        <w:br/>
        <w:t xml:space="preserve">29. Given these already integrated economic relationships, which do not allow for further integration following the operation, the risk of lock-in of inputs can be ruled out.  </w:t>
        <w:br/>
        <w:t xml:space="preserve">2. LOCK-IN OF ACCESS TO CUSTOMERS  </w:t>
        <w:br/>
        <w:t xml:space="preserve">30. The new entity may choose to use only Somacom's services for port handling in Réunion and thus reduce the outlets of competing handlers. Such a strategy would rely on MSC's significant position on several routes in the market for regular maritime transport services by containers to and from South Africa (maximum market share of 63.5% on the route from South Africa to East Africa).  </w:t>
        <w:br/>
        <w:t xml:space="preserve">31. However, in this case, prior to the operation, MSC only used Somacom for port handling services, so the operation will not change the current structure of the relevant markets. This point has been confirmed by respondents to the market test. Somacom's competitors thus have current alternatives that allow them to be active in the market. Furthermore, according to the notifying party, given the spaces allocated by the temporary occupation authorization (AOT), Somacom's utilization rate is generally [confidential]. In this regard, the notifying party indicated that "MSC has absolutely no incentive to refuse to use the services of Somacom's competitors, particularly in cases where the volume of goods transported by MSC in Réunion exceeds Somacom's capacities."  </w:t>
        <w:br/>
        <w:t xml:space="preserve">32. Given these already integrated economic relationships, which do not allow for further integration following the operation, the risk of lock-in of access to customers can be ruled out.  </w:t>
        <w:br/>
        <w:t xml:space="preserve">33. Consequently, the operation is not likely to harm competition through vertical effects in these markets.  </w:t>
        <w:br/>
        <w:t>17 [Confidential]. The notifying party specifies that "the shipping company chosen by the freight forwarder/commission agent [who] determines which port handling company will be used" and that "before and after the operation, freight forwarders/commission agents who have selected MSC as the shipping company will use Somacom's services" whether MSC uses its own ships or ships under joint operating agreements for regular maritime transport services.</w:t>
      </w:r>
    </w:p>
    <w:p>
      <w:r>
        <w:rPr>
          <w:b/>
        </w:rPr>
        <w:t>[Pages 7–7]</w:t>
      </w:r>
    </w:p>
    <w:p>
      <w:r>
        <w:t xml:space="preserve">DECIDES  </w:t>
        <w:br/>
        <w:t xml:space="preserve">Sole Article: The transaction notified under number 19-146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