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https://www.autoritedelaconcurrence.fr/fr/decision-de-controle-des-concentrations/relative-la-prise-de-controle-exclusif-de-la-societe-de-4</w:t>
      </w:r>
    </w:p>
    <w:p>
      <w:r>
        <w:t>Pages translated : 17</w:t>
      </w:r>
    </w:p>
    <w:p/>
    <w:p>
      <w:r>
        <w:rPr>
          <w:b/>
        </w:rPr>
        <w:t>[Pages 1–3]</w:t>
      </w:r>
    </w:p>
    <w:p>
      <w:r>
        <w:t xml:space="preserve">FRENCH REPUBLIC  </w:t>
        <w:br/>
        <w:t xml:space="preserve">Decision No. 20-DCC-126 of September 18, 2020  </w:t>
        <w:br/>
        <w:t>regarding the exclusive control of the Société de financement local by the Caisse des dépôts et consignations</w:t>
      </w:r>
    </w:p>
    <w:p>
      <w:r>
        <w:t xml:space="preserve">The Competition Authority,  </w:t>
        <w:br/>
        <w:t xml:space="preserve">Having regard to the notification file submitted in full to the concentrations service on July 24, 2020, regarding the acquisition of control of the Société de financement local by the Caisse des dépôts et consignations, formalized by an acquisition contract dated March 4, 2020;  </w:t>
        <w:br/>
        <w:t xml:space="preserve">Having regard to Book IV of the Commercial Code relating to the freedom of prices and competition, and in particular Articles L. 430-1 to L. 430-7;  </w:t>
        <w:br/>
        <w:t xml:space="preserve">Having regard to the supplementary elements transmitted by the notifying party during the investigation;  </w:t>
        <w:br/>
        <w:t xml:space="preserve">Having regard to the commitments submitted on August 26, 2020, and last modified on September 10, 2020, by the notifying party;  </w:t>
        <w:br/>
        <w:t xml:space="preserve">Having regard to the other documents in the file;  </w:t>
        <w:br/>
        <w:t>Adopts the following decision:</w:t>
      </w:r>
    </w:p>
    <w:p>
      <w:r>
        <w:t xml:space="preserve">Summary1  </w:t>
        <w:br/>
        <w:t xml:space="preserve">By virtue of the following decision, the Authority examined the exclusive control of the Société de financement local (hereinafter, "SFIL") by the Caisse des dépôts et consignations (hereinafter, "CDC").  </w:t>
        <w:br/>
        <w:t xml:space="preserve">CDC controls La Banque Postale (hereinafter, "LBP"), active in the market for financing local authorities, and potentially active in the French market for trade finance. CDC jointly holds the Bpifrance group with the State, which includes Bpifrance Financement, active in trade finance, and Bpifrance Assurance Export, active in export credit insurance as an entity granting a guarantee on behalf of and for the account of the State for export credits involving French exporters.  </w:t>
        <w:br/>
        <w:t xml:space="preserve">The Société de financement is a public development bank created on February 1, 2013, following the liquidation of Dexia. Prior to the operation, SFIL is exclusively controlled by the State. The European Commission's decision of December 28, 2012 (hereinafter, "the Commission's decision of 2012") authorized SFIL to engage in refinancing activities for loans to the local public sector granted by LBP for a period of fifteen years. By a decision dated May 5, 2015, the Commission authorized SFIL to carry out refinancing activities in export credit for a period of 5 years (hereinafter, "the Commission's decision of 2015"). The European Commission renewed this authorization by decision dated May 7, 2020, for a period of 7 years (hereinafter, "the Commission's decision of 2020").  </w:t>
        <w:br/>
        <w:t xml:space="preserve">Given the activities of CDC and SFIL, the Authority examined the effects of the operation on the markets for financing local authorities and trade finance.  </w:t>
        <w:br/>
        <w:t xml:space="preserve">In the market for financing local authorities, the Authority found that the conditions for the activities of SFIL and LBP in this market are strictly regulated by the Commission's decision of 2012. The Authority also noted that prior to the operation, LBP is the sole contractor of SFIL in this market. Consequently, the operation has no effect on the structure of the market for financing local authorities, so that any competition issue could be ruled out.  </w:t>
        <w:br/>
        <w:t xml:space="preserve">Regarding the export credit sector, the Authority first noted, relying on responses to the market test, that the export credit refinancing activity carried out by SFIL constitutes a distinct market from that of trade finance, on which CDC is active via Bpifrance Financement and potentially active through LBP at the French level. Given the vertical link between these two markets, the Authority examined the locking strategies that CDC could implement after the operation, particularly in light of the essential position held by SFIL in the French export credit refinancing market.  </w:t>
        <w:br/>
        <w:t xml:space="preserve">The Authority first studied the risk of implementing an eviction strategy whereby SFIL would favor LBP in granting refinancing. The Authority notes that the decisions of the Commission of 2015 and 2020 strictly regulate how SFIL determines the rate it offers to commercial banks seeking refinancing, which must be identical for each of the banks involved in an operation. SFIL cannot therefore use the refinancing rate as a lever to favor LBP and oust its competitors.  </w:t>
        <w:br/>
        <w:t xml:space="preserve">The decisions of the Commission of 2015 and 2020 also provide for an anti-eviction mechanism whereby, to benefit from export credit refinancing, the exporter or borrower must have consulted a number of commercial banks greater than the number of banks ultimately selected.  </w:t>
        <w:br/>
        <w:t xml:space="preserve">The Authority considered that this mechanism was not sufficient to prevent the risk that, among the banks consulted by the borrower or exporter, including LBP, SFIL might refuse to make a refinancing offer to one or more of them so that they would withdraw from participating in the financing of the operation. Such a strategy would mechanically direct the choice of the borrower or exporter towards LBP's offer.  </w:t>
        <w:br/>
        <w:t xml:space="preserve">The Authority also notes that after the operation, SFIL could be incentivized to remove from the agreements concluded with commercial banks the clauses relating to the confidentiality of information collected during refinancing operations in order to communicate them to LBP.  </w:t>
        <w:br/>
        <w:t xml:space="preserve">To address the identified risks to competition, CDC committed not to favor LBP in the refinancing process for the entire duration of the authorization granted by the Commission's decision of 2020, until May 7, 2027. The commitments provide for an ex ante control mechanism by a representative that activates (i) when a borrower or exporter has consulted several commercial banks in the context of financing an export credit, including LBP, (ii) that some of the concerned commercial banks, including LBP, have requested SFIL to use its refinancing mechanism, (iii) that SFIL has sent a firm refinancing offer to LBP; and (iv) that SFIL intends to refuse to refinance one of the banks consulted (other than LBP) by the borrower or exporter. In such a case, the representative, whose control has a suspensive effect on the decision to refuse refinancing, must ensure that it is based on objective, transparent, and non-discriminatory elements.  </w:t>
        <w:br/>
        <w:t xml:space="preserve">CDC also committed to maintaining its confidentiality commitments provided for in the agreements concluded or to be concluded.  </w:t>
        <w:br/>
        <w:t xml:space="preserve">The Authority was also able to rule out any risk of vertical effects between the financing activities of Bpifrance Financement and the refinancing activities of SFIL, noting in particular that Bpifrance Financement only intervenes to address a deficit in private supply by applying the principle of "active subsidiarity."  </w:t>
        <w:br/>
        <w:t>Finally, the Authority ruled out any risk of conglomerate effects between the activities of SFIL and the export credit insurance activity of Bpifrance Assurance Export, the latter being exclusively controlled by the Minister of Economy. Indeed, since all export credits refinanced by SFIL are, even before the operation, guaranteed by Bpifrance Assurance Export, a coupling strategy would have no specific effect on the markets concerned.</w:t>
      </w:r>
    </w:p>
    <w:p>
      <w:r>
        <w:rPr>
          <w:b/>
        </w:rPr>
        <w:t>[Pages 4–6]</w:t>
      </w:r>
    </w:p>
    <w:p>
      <w:r>
        <w:t>I. The Companies Involved and the Operation</w:t>
      </w:r>
    </w:p>
    <w:p>
      <w:r>
        <w:t>1. The Caisse des dépôts et consignations (hereinafter, the "CDC") is a public institution governed by Articles L. 518-2 and following of the Monetary and Financial Code, which fulfills missions of general interest in support of public policies conducted by the State and local authorities (deposits on savings accounts that finance social housing and urban renewal, regulated deposits and consignments, pensions, and social security treasuries). The CDC engages in activities open to competition, which are grouped around four poles: (i) the environment, (ii) real estate, (iii) investment and private equity, and (iv) services. Established by the law of April 28, 1816, the CDC is placed "under the supervision and guarantee of the legislative authority," this governance mode being intended to ensure the autonomy of this institution, which manages private funds requiring particular protection. The CDC controls La Banque Postale (hereinafter, "LBP"), which carries out banking and insurance activities for individuals, businesses, and local public actors. The CDC holds, jointly with the State, the Bpifrance group, which includes Bpifrance Financement, active in trade finance, and Bpifrance Assurance Export, active in export credit insurance as an entity granting, in the name and on behalf of the State, a guarantee for export credits involving French exporters.</w:t>
      </w:r>
    </w:p>
    <w:p>
      <w:r>
        <w:t>2. The Société de financement local (hereinafter, "SFIL") is a public development bank created on February 1, 2013, following the liquidation of Dexia. SFIL is exclusively controlled by the State, which holds 75% of its capital, the remainder being held by the CDC (20%) and LBP (5%). SFIL holds 100% of the capital of the Caisse française de financement local (hereinafter, "CAFFIL"), a mortgage credit company. The European Commission's state aid decision of December 28, 2012, authorized the orderly resolution plan of the Dexia group. As part of this plan, the State entrusted SFIL with the refinancing of loans to the local public sector granted by LBP for a duration of fifteen years and to provide it with management services for loans contracted by local authorities and health establishments. SFIL also operates the "desensitization of toxic loans" contracted by local authorities before the sale of Dexia Municipal. By a state aid decision dated May 5, 2015, the Commission authorized SFIL to engage in export credit refinancing activities for a duration of 5 years (hereinafter, "the Commission's decision of 2015"). The European Commission renewed this authorization by decision dated May 7, 2020, for a duration of 7 years (hereinafter, "the Commission's decision of 2020").</w:t>
      </w:r>
    </w:p>
    <w:p>
      <w:r>
        <w:t>3. The operation consists of the acquisition by the CDC of 99.9% of the capital of SFIL, the remainder being made up of an ordinary share retained by the State. As it results in the exclusive control of SFIL by the CDC, the notified operation constitutes a concentration within the meaning of Article L. 430-1 of the Commercial Code.</w:t>
      </w:r>
    </w:p>
    <w:p>
      <w:r>
        <w:t>4. The companies involved together generate a total worldwide turnover of more than 150 million euros (CDC: 90.7 billion euros for the fiscal year ending December 31, 2019; SFIL: 2.6 billion euros for the same fiscal year). Each of these companies generates, in France, a turnover exceeding 50 million euros (CDC: 56.8 billion euros for the fiscal year ending December 31, 2019; SFIL: 2.3 billion euros for the same fiscal year). The notification thresholds of Article 1 paragraph 3 of Regulation (EC) 139/2004 are therefore exceeded, but since each of the companies involved generates more than two-thirds of its turnover in the European Union in France,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II. Definition of Relevant Markets</w:t>
      </w:r>
    </w:p>
    <w:p>
      <w:r>
        <w:t>A. THE MARKETS OF COMMERCIAL BANKING</w:t>
      </w:r>
    </w:p>
    <w:p>
      <w:r>
        <w:t>5. Commercial banking encompasses banking services aimed at businesses. The decision-making practice has questioned, while leaving the issue open, a segmentation of commercial banking markets based on the size of client companies (SMEs or large enterprises). The Authority has also considered segmenting the market according to sectors of activity, notably distinguishing a market for credit to farmers.</w:t>
      </w:r>
    </w:p>
    <w:p>
      <w:r>
        <w:t>6. Regarding segmentation by type of services, the Authority distinguished the following markets:</w:t>
        <w:br/>
        <w:t>− sight deposits,</w:t>
        <w:br/>
        <w:t>− corporate savings,</w:t>
        <w:br/>
        <w:t>− investment loans,</w:t>
        <w:br/>
        <w:t>− real estate credit for professionals,</w:t>
        <w:br/>
        <w:t>− leasing,</w:t>
        <w:br/>
        <w:t>− credit to local authorities,</w:t>
        <w:br/>
        <w:t>− credit insurance,</w:t>
        <w:br/>
        <w:t>− trade finance,</w:t>
        <w:br/>
        <w:t>− payment cards, international payments,</w:t>
        <w:br/>
        <w:t>− remote local payments,</w:t>
        <w:br/>
        <w:t>− short-term financing products,</w:t>
        <w:br/>
        <w:t>− factoring,</w:t>
        <w:br/>
        <w:t>− custody, and</w:t>
        <w:br/>
        <w:t>− fund administration.</w:t>
      </w:r>
    </w:p>
    <w:p>
      <w:r>
        <w:t>7. In this case, the markets specifically concerned by the operation are those of financing local authorities (1) and trade finance (2).</w:t>
      </w:r>
    </w:p>
    <w:p>
      <w:r>
        <w:t>1. THE MARKET FOR FINANCING LOCAL AUTHORITIES</w:t>
      </w:r>
    </w:p>
    <w:p>
      <w:r>
        <w:t>a) Product Market</w:t>
      </w:r>
    </w:p>
    <w:p>
      <w:r>
        <w:t>8. The Authority distinguished a market for financing local authorities, which concerns the activity of lending to local authorities and other public law entities, their emanations, and the concessionary companies responsible for managing a public service, as well as financing major equipment and infrastructure.</w:t>
      </w:r>
    </w:p>
    <w:p>
      <w:r>
        <w:t>9. The delimitation of such a market, also considered by the Commission, is based on several factors. Firstly, local authorities form a clearly identified clientele distinct from that of businesses and individuals or households. Furthermore, loans are generally of a relatively long duration (10 to 15 years) and granted in the currency of the country in which they are located (foreign currency loans remain the exception). In addition, loans to local authorities are generally not secured by any collateral. Moreover, borrowing by local authorities is subject to precise and binding legal rules. Finally, in all Member States, there are certain institutions specialized in loans to local authorities.</w:t>
      </w:r>
    </w:p>
    <w:p>
      <w:r>
        <w:t>10. In its decision No. 19-DCC-270, the Authority considered that the financing activities of local authorities carried out directly by the CDC did not constitute an economic activity in the market. However, the CDC remains active in the market for financing local authorities through LBP.</w:t>
      </w:r>
    </w:p>
    <w:p>
      <w:r>
        <w:t>11. There is no need to challenge this definition of the market in the present decision.</w:t>
      </w:r>
    </w:p>
    <w:p>
      <w:r>
        <w:t>12. SFIL, for its part, engages in refinancing loans granted by LBP to local authorities.</w:t>
      </w:r>
    </w:p>
    <w:p>
      <w:r>
        <w:t>b) Geographical Market</w:t>
      </w:r>
    </w:p>
    <w:p>
      <w:r>
        <w:t>13. The decision-making practice of the Authority considers that the market for credit to local authorities has a national dimension given the following elements. In each Member State, the demand for credit from local authorities is almost entirely met by the credit supply from financial institutions located in that State. Similarly, specialized lending institutions only exceptionally resort to foreign subsidiaries. Furthermore, local authorities, especially smaller ones, do not have the means to seek funding sources abroad and prefer to maintain ongoing relationships with one or more bankers present in the State where they are located. Finally, the borrowing decision of these entities is framed within a binding legal framework that differs according to Member States.</w:t>
      </w:r>
    </w:p>
    <w:p>
      <w:r>
        <w:rPr>
          <w:b/>
        </w:rPr>
        <w:t>[Pages 7–9]</w:t>
      </w:r>
    </w:p>
    <w:p>
      <w:r>
        <w:t>14. There is no need to challenge this geographical definition in the present decision.</w:t>
      </w:r>
    </w:p>
    <w:p>
      <w:r>
        <w:t>2. MARKETS FOR TRADE FINANCE AND EXPORT CREDIT REFINANCING</w:t>
      </w:r>
    </w:p>
    <w:p>
      <w:r>
        <w:t>a) Product Market</w:t>
      </w:r>
    </w:p>
    <w:p>
      <w:r>
        <w:t>15. The trade finance market involves short-term financing of consumer goods exports by companies and long-term financing of capital goods exports. Trade finance takes the form of export credit contracts, often benefiting from a guarantee or credit insurance granted by specialized operators.</w:t>
      </w:r>
    </w:p>
    <w:p>
      <w:r>
        <w:t>16. In this case, the CDC engages in trade finance activities through Bpifrance Financement, with LBP being, moreover, a potential entrant in the French market. SFIL, for its part, is active in export credit refinancing.</w:t>
      </w:r>
    </w:p>
    <w:p>
      <w:r>
        <w:t>17. Export credit refinancing consists of the purchase by an operator of receivables granted by one or more commercial bank(s) under an export credit contract. This operation has the effect of removing the loan from the balance sheet of the lending bank (or coordinating bank), allowing it to maintain its liquidity.</w:t>
      </w:r>
    </w:p>
    <w:p>
      <w:r>
        <w:t>18. The notifying party emphasizes that the export credit refinancing activity carried out by SFIL does not constitute an economic activity conducted in a market. However, the Authority notes that the extension of SFIL's activities to export credit refinancing has been the subject of decisions by the European Commission under state aid control. The existence of an economic activity is a criterion for the applicability of Article 107 of the Treaty on the Functioning of the European Union, and this application is a strong indication of the economic nature of this activity under French merger control. The Authority therefore considers, for the purposes of this decision, that the export credit refinancing activity carried out by SFIL constitutes an economic activity.</w:t>
      </w:r>
    </w:p>
    <w:p>
      <w:r>
        <w:t>19. The notifying party further considers that export credit refinancing constitutes a distinct market from that of trade finance. The notifying party emphasizes in this regard that refinancing is an operation independent of the initial loans, which is carried out under specific terms and is addressed exclusively to commercial banks and not to exporters. Specifically regarding SFIL's activity, the notifying party notes that export credits are, initially, subscribed by French exporters, or their clients, with commercial banks and are, subsequently, refinanced by SFIL, the receivable being, following this operation, transferred from the commercial bank to SFIL.</w:t>
      </w:r>
    </w:p>
    <w:p>
      <w:r>
        <w:t>20. In addition to these elements, the private supply deficit regarding export credit refinancing, noted by the Commission, highlights the low substitutability on the supply side between the trade finance market, where many operators are active, and refinancing. Responses to the market test launched among commercial banks that have entered into a protocol agreement with SFIL indicate that this low substitutability is explained in particular by the sometimes very large amounts as well as the long drawdown periods of receivables that reduce operators' ability to offer competitive refinancing solutions. The Commission's decision notes the limited nature of the offer in the refinancing market, emphasizing that the few operators capable of offering a refinancing solution reserve it for internal refinancing. This point has been confirmed by respondents to the market test who, for the majority of them, identify only SFIL as a refinancing operator in the French trade finance market, particularly regarding export credits guaranteed in the name and on behalf of the State by Bpifrance Assurance Export.</w:t>
      </w:r>
    </w:p>
    <w:p>
      <w:r>
        <w:t>21. It follows from all the elements that the export credit refinancing market, while inherently linked to the trade finance market, constitutes a distinct market.</w:t>
      </w:r>
    </w:p>
    <w:p>
      <w:r>
        <w:t>22. Consequently, the analysis will focus on the trade finance market and the export credit refinancing market.</w:t>
      </w:r>
    </w:p>
    <w:p>
      <w:r>
        <w:t>b) Geographical Market</w:t>
      </w:r>
    </w:p>
    <w:p>
      <w:r>
        <w:t>23. Regarding the commercial banking markets, the Authority conducts its competitive analysis at both the national and local levels. Specifically concerning trade finance, the European Commission has identified a national dimension to the market. There is no need to challenge this geographical definition in the present decision.</w:t>
      </w:r>
    </w:p>
    <w:p>
      <w:r>
        <w:t>24. Regarding the export credit refinancing market, the majority of respondents to the market tests emphasize that while, theoretically, an export credit involving a French exporter could be refinanced by an operator located outside the territory, this situation is infrequent. Therefore, and insofar as SFIL only refinances export credit contracts guaranteed by Bpifrance Assurance Export involving French exporters, it is appropriate to analyze the export credit refinancing market at the national level.</w:t>
      </w:r>
    </w:p>
    <w:p>
      <w:r>
        <w:t>B. THE EXPORT CREDIT INSURANCE MARKET</w:t>
      </w:r>
    </w:p>
    <w:p>
      <w:r>
        <w:t>1. PRODUCT MARKET</w:t>
      </w:r>
    </w:p>
    <w:p>
      <w:r>
        <w:t>25. The credit insurance market concerns the operation by which a creditor subscribes to insurance against the risk of non-payment by its debtor. It differs from loan insurance in that the creditor, and not the debtor, subscribes to insurance against default. Credit insurance includes several insurance activities such as export credit insurance, domestic credit insurance, and credit insurance for capital goods and services. The Commission has considered distinguishing between the export and domestic credit insurance markets, referred to as "delcredere" credit insurance, and credit insurance for capital goods and services, given the different characteristics of the insurance policies.</w:t>
      </w:r>
    </w:p>
    <w:p>
      <w:r>
        <w:t>26. There is no need to challenge this definition of the market in the present decision.</w:t>
      </w:r>
    </w:p>
    <w:p>
      <w:r>
        <w:t>27. In this case, the export credit insurance market is concerned by the operation in the context of analyzing the conglomerate effects between this market, where Bpifrance Assurance Export is active, and the refinancing market, where SFIL is active.</w:t>
      </w:r>
    </w:p>
    <w:p>
      <w:r>
        <w:t>2. GEOGRAPHICAL MARKET</w:t>
      </w:r>
    </w:p>
    <w:p>
      <w:r>
        <w:t>28. The European Commission considers that the credit insurance market has a national dimension. There is no need to challenge this geographical definition in the present decision.</w:t>
      </w:r>
    </w:p>
    <w:p>
      <w:r>
        <w:t>III. Competitive Analysis</w:t>
      </w:r>
    </w:p>
    <w:p>
      <w:r>
        <w:t>A. THE LOCAL AUTHORITIES FINANCING MARKET</w:t>
      </w:r>
    </w:p>
    <w:p>
      <w:r>
        <w:t>29. In its decision No. 19-DCC-270, the Authority recalled that SFIL's activity is strictly governed by the state aid decision of the Commission relating to Dexia.</w:t>
      </w:r>
    </w:p>
    <w:p>
      <w:r>
        <w:t>30. The loans thus granted are marketed by LBP under the conditions set by the aid grant decision, namely "under market conditions that are not more attractive than those offered by other commercial banks." These loans are also refinanced by CAFFIL. This refinancing concerns almost all loans granted by LBP to local authorities. The cost of refinancing is governed by the aid grant decision. Due to the receivables assignment agreement binding LBP and SFIL and pursuant to the provisions of the aid grant decision which prohibits SFIL from contracting with banks other than LBP for other services, LBP is the sole contracting party of SFIL prior to the operation.</w:t>
      </w:r>
    </w:p>
    <w:p>
      <w:r>
        <w:t>31. Thus, in light of the assignment agreement, applicable until 2024, and the Commission's aid grant decision, the operation has no effect on the structure of the local authorities financing market.</w:t>
      </w:r>
    </w:p>
    <w:p>
      <w:r>
        <w:t>B. THE EXPORT CREDIT SECTOR</w:t>
      </w:r>
    </w:p>
    <w:p>
      <w:r>
        <w:t>1. ANALYSIS OF VERTICAL EFFECTS</w:t>
      </w:r>
    </w:p>
    <w:p>
      <w:r>
        <w:t>32. A vertical concentration can restrict competition by making it more difficult to access the markets in which the new entity will be active, potentially ousting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33. However, decision-making practice generally holds that "it is unlikely that a company with a market share of less than 30% in a relevant market can lock in a downstream or upstream market."</w:t>
      </w:r>
    </w:p>
    <w:p>
      <w:r>
        <w:rPr>
          <w:b/>
        </w:rPr>
        <w:t>[Pages 10–12]</w:t>
      </w:r>
    </w:p>
    <w:p>
      <w:r>
        <w:t>34. In this case, the trade finance market, in which Bpifrance Financement is active and LBP potentially active, is upstream of the export credit refinancing market, in which SFIL operates.</w:t>
      </w:r>
    </w:p>
    <w:p>
      <w:r>
        <w:t>a) The activities of LBP and SFIL</w:t>
      </w:r>
    </w:p>
    <w:p>
      <w:r>
        <w:t>35. LBP is currently not active in the national trade finance market. However, LBP has entered into a memorandum of understanding with SFIL to enable the refinancing of export credits that the bank may grant, which confirms LBP's intention to enter the French market. It is therefore necessary to analyze the risks of vertical effects related to the operation and concerning LBP's potential trade finance activities and SFIL's export credit refinancing.</w:t>
      </w:r>
    </w:p>
    <w:p>
      <w:r>
        <w:t>Analysis of vertical effects leveraging LBP's activities</w:t>
      </w:r>
    </w:p>
    <w:p>
      <w:r>
        <w:t>36. Following the operation, the new entity could decide to approach only SFIL for the refinancing of its export credit contracts in order to lock in the refinancing offer around SFIL's activities and make it more difficult for a competing private offer to emerge.</w:t>
      </w:r>
    </w:p>
    <w:p>
      <w:r>
        <w:t>37. However, LBP's position is currently nonexistent in the trade finance market and, given the presence of numerous operators in this market, it is, in any event, expected to remain moderate in the short or medium term. Thus, any risk of vertical effect related to the implementation of such a strategy can be ruled out.</w:t>
      </w:r>
    </w:p>
    <w:p>
      <w:r>
        <w:t>Analysis of vertical effects leveraging SFIL's activities</w:t>
      </w:r>
    </w:p>
    <w:p>
      <w:r>
        <w:t>38. SFIL has, at the national level, a crucial position in the refinancing of significant export credits, linked to the failure of private supply in the market, which has been noted several times by the European Commission. In the 2020 decision, the Commission emphasizes that " [...] the [private] offer in the market has remained very limited. There are only three banks that have their own 'Sociétés de Crédit Foncier'. The balance sheets of these companies are rather modest, and they only refinance the export credit assets of their parent companies." The market test confirmed SFIL's crucial position in export credit refinancing at the French level, particularly concerning contracts of significant amounts benefiting from a guarantee granted by Bpifrance Assurance Export.</w:t>
      </w:r>
    </w:p>
    <w:p>
      <w:r>
        <w:t>39. It is therefore necessary to analyze the risk of implementing a market locking strategy upstream.</w:t>
      </w:r>
    </w:p>
    <w:p>
      <w:r>
        <w:t>40. First, following the operation, SFIL could decide to grant a competitive advantage to LBP by offering it more favorable refinancing rates than its competitors, or by offering the latter rates under degraded conditions.</w:t>
      </w:r>
    </w:p>
    <w:p>
      <w:r>
        <w:t>41. However, the risk of implementing such a strategy can be ruled out.</w:t>
      </w:r>
    </w:p>
    <w:p>
      <w:r>
        <w:t>42. The Commission's decisions of 2015 and 2020 strictly frame the conditions under which the refinancing rate proposed by SFIL to the commercial banks consulted by the borrower or exporter is determined, notably listing the internal cost items that can be covered by the refinancing rate. These decisions also provide that the refinancing rate will include a margin in favor of SFIL, this margin must, however, respect market conditions.</w:t>
      </w:r>
    </w:p>
    <w:p>
      <w:r>
        <w:t>43. In this regard, the Commission's decision notes that " [...] the banks competing on a new transaction receive from SFIL a financing rate offer which, with an identical financing structure, is the same regardless of the bank and to which the banks add their own remuneration."</w:t>
      </w:r>
    </w:p>
    <w:p>
      <w:r>
        <w:t>44. Given these elements, CDC will not have the ability to implement a strategy consisting of offering, after the operation, a preferential refinancing rate to LBP or a degraded rate to its competitors.</w:t>
      </w:r>
    </w:p>
    <w:p>
      <w:r>
        <w:t>45. Secondly, the new entity could decide, after the operation, to refuse to present a refinancing offer to one or more commercial banks consulted by the exporter or borrower in order to direct them to choose LBP to finance their project.</w:t>
      </w:r>
    </w:p>
    <w:p>
      <w:r>
        <w:t>46. The Commission's 2015 decision frames the export credit refinancing process and provides for a mandatory competitive bidding mechanism for banks at the expense of the borrower or exporter, who must, in constructing the financial aspect of their export project, consult several commercial banks. The Commission's decision recalls that, in the case of an export credit arranged by a single bank, SFIL only implements the operation if the number of banks consulted by the borrower or exporter is "greater than or equal to three in the general case, or greater than or equal to two for (a) military or nuclear projects or (b) contracts of an amount greater than 500 million EUR." Similarly, in the case of an export credit syndicated by a group of banks, "SFIL only implements the operation if the number of commercial banks consulted by the exporter or borrower is greater than or equal to the number of banks financed by SFIL plus two in the general case, or greater than or equal to the number of banks financed by SFIL plus one for military or nuclear projects."</w:t>
      </w:r>
    </w:p>
    <w:p>
      <w:r>
        <w:t>47. While this mechanism provides for obligations regarding the number of commercial banks consulted by the borrower or exporter, it does not obligate SFIL to submit a refinancing offer to all consulted banks. The memoranda of understanding binding SFIL to commercial banks explicitly provide for SFIL's ability to refuse to submit a refinancing offer to the concerned bank that requests it. It follows that SFIL has the capacity to implement a locking strategy as described in paragraph 45 of this decision.</w:t>
      </w:r>
    </w:p>
    <w:p>
      <w:r>
        <w:t>48. On the other hand, the new entity will be incentivized to implement such a strategy as it is cost-neutral for SFIL, with refinancing volumes remaining unchanged, and allows for maximizing the potential profit realized by LBP in the upstream market.</w:t>
      </w:r>
    </w:p>
    <w:p>
      <w:r>
        <w:t>49. The implementation of such an eviction strategy is also likely to generate a significant locking effect in the upstream market, linked to SFIL's crucial position in the downstream market and the lack of sufficient credible alternative refinancing for LBP's competing commercial banks, particularly concerning significant export credits. The eviction effect of such a strategy has been confirmed by the market test conducted with commercial banks having a memorandum of understanding with SFIL, which, for a number of them, would be discouraged from operating in the absence of the possibility of refinancing by SFIL.</w:t>
      </w:r>
    </w:p>
    <w:p>
      <w:r>
        <w:t>50. Given these elements, the operation is likely to raise serious doubts about harm to competition through vertical effects.</w:t>
      </w:r>
    </w:p>
    <w:p>
      <w:r>
        <w:t>51. However, CDC has presented commitments, analyzed in Section IV of this decision, to remedy the identified risks of harm to competition.</w:t>
      </w:r>
    </w:p>
    <w:p>
      <w:r>
        <w:t>52. Furthermore, as an operator in the export credit refinancing market, SFIL is likely to have information on the positioning of operators in the upstream market which, if communicated to LBP, would confer to it an informational advantage over its competitors.</w:t>
      </w:r>
    </w:p>
    <w:p>
      <w:r>
        <w:t>53. Although the memoranda of understanding concluded by SFIL with commercial banks provide for a confidentiality clause, it cannot be ruled out that after the operation, SFIL may be incentivized not to include such a clause in the newly concluded memoranda of understanding with other commercial banks. This scenario is particularly made credible by SFIL's position as a crucial operator, which gives it significant negotiating power.</w:t>
      </w:r>
    </w:p>
    <w:p>
      <w:r>
        <w:t>54. Several respondents to the market test also emphasized the need for a separation between SFIL and other entities linked to CDC regarding information.</w:t>
      </w:r>
    </w:p>
    <w:p>
      <w:r>
        <w:t>55. However, CDC has presented commitments, analyzed in Section IV of this decision, aimed at eliminating any risk related to this type of information transmission.</w:t>
      </w:r>
    </w:p>
    <w:p>
      <w:r>
        <w:t>b) The activities of Bpifrance Financement and SFIL</w:t>
      </w:r>
    </w:p>
    <w:p>
      <w:r>
        <w:t>56. The notifying party argues that Bpifrance Financement's activities in export credit do not constitute economic activities conducted in a market. Without needing to rule on the off-market nature of these activities, any risk of vertical effects can be ruled out in this case.</w:t>
      </w:r>
    </w:p>
    <w:p>
      <w:r>
        <w:t>57. Indeed, Bpifrance Financement, acting as a sole lender, only grants export credits of an amount not exceeding 25 million euros, the market being characterized by a deficit of private supply regarding this type of contract aimed notably at French SMEs and mid-sized enterprises.</w:t>
      </w:r>
    </w:p>
    <w:p>
      <w:r>
        <w:t>58. According to the Commission's decisions of 2015 and 2020, SFIL's activity addresses the market failure in export credit financing, particularly concerning significant export credit contracts and long drawdown periods. Thus, SFIL only refinances export credit contracts of an amount greater than 70 million euros.</w:t>
      </w:r>
    </w:p>
    <w:p>
      <w:r>
        <w:t>59. The trade finance offer of Bpifrance Financement as a sole lender and the export credit refinancing offer of SFIL do not overlap, so any risk of vertical effect can be ruled out.</w:t>
      </w:r>
    </w:p>
    <w:p>
      <w:r>
        <w:t>60. Bpifrance Financement can also participate in the co-financing of export projects of an amount greater than 25 million euros, with Bpifrance Financement's share being, in this case, limited to 75 million euros. Thus, in the context of co-financing, Bpifrance Financement can intervene in export credit contracts whose amount falls within the refinancing scope of SFIL. Among the [20-30] export credits in which SFIL has intervened in refinancing, Bpifrance Financement has co-financed [5-10].</w:t>
      </w:r>
    </w:p>
    <w:p>
      <w:r>
        <w:t>61. However, any risk of implementing a locking strategy can be ruled out.</w:t>
      </w:r>
    </w:p>
    <w:p>
      <w:r>
        <w:rPr>
          <w:b/>
        </w:rPr>
        <w:t>[Pages 13–15]</w:t>
      </w:r>
    </w:p>
    <w:p>
      <w:r>
        <w:t>la nature de l’opération notifiée ne le permet pas. Dans ce cas, des mesures correctives comportementales peuvent être envisagées.</w:t>
      </w:r>
    </w:p>
    <w:p>
      <w:r>
        <w:t>2. SUR L’EFFICACITÉ DES ENGAGEMENTS</w:t>
        <w:br/>
        <w:t>82. Les engagements proposés par la CDC doivent être évalués en fonction de leur capacité à remédier aux risques d’atteinte à la concurrence identifiés. L’Autorité doit s’assurer que ces engagements sont adaptés pour répondre aux préoccupations soulevées par l’opération.</w:t>
      </w:r>
    </w:p>
    <w:p>
      <w:r>
        <w:t>83. En ce qui concerne l’engagement relatif aux conditions de sélection des banques commerciales, il est essentiel que le mécanisme de contrôle ex ante soit suffisamment rigoureux pour garantir que Bpifrance Financement ne favorise pas LBP dans le cadre de ses activités de refinancement. La mise en place d’un mandataire indépendant pour évaluer les refus d’offre de refinancement est un élément positif qui devrait contribuer à assurer la transparence et l’objectivité du processus.</w:t>
      </w:r>
    </w:p>
    <w:p>
      <w:r>
        <w:t>84. Concernant l’engagement relatif à la confidentialité, il est crucial que la CDC respecte son engagement de maintenir la confidentialité des informations recueillies par SFIL. Cela permettra de protéger les données sensibles des banques commerciales et de garantir que la concurrence ne soit pas faussée par une divulgation inappropriée d’informations.</w:t>
      </w:r>
    </w:p>
    <w:p>
      <w:r>
        <w:t>3. CONCLUSION</w:t>
        <w:br/>
        <w:t>85. Au regard des engagements proposés et de leur capacité à remédier aux risques d’atteinte à la concurrence identifiés, l’Autorité considère que les mesures correctives sont suffisantes pour garantir une concurrence effective sur les marchés concernés. Par conséquent, l’opération peut être autorisée sous réserve du respect des engagements pris par la CDC.</w:t>
      </w:r>
    </w:p>
    <w:p>
      <w:r>
        <w:rPr>
          <w:b/>
        </w:rPr>
        <w:t>[Pages 16–17]</w:t>
      </w:r>
    </w:p>
    <w:p>
      <w:r>
        <w:t>remedies of a behavioral nature prove to be just as effective in compensating for the harm to competition.</w:t>
      </w:r>
    </w:p>
    <w:p>
      <w:r>
        <w:t>82. Furthermore, the Authority ensures that the remedies are proportionate. Consequently, the measures adopted must effectively remedy the identified harms to competition, imposing on the companies a burden that is strictly necessary to maintain or restore sufficient competition.</w:t>
      </w:r>
    </w:p>
    <w:p>
      <w:r>
        <w:t>2. ON THE ADEQUACY OF THE PROPOSED MEASURES</w:t>
      </w:r>
    </w:p>
    <w:p>
      <w:r>
        <w:t>a) The commitment regarding the selection conditions of commercial banks</w:t>
      </w:r>
    </w:p>
    <w:p>
      <w:r>
        <w:t>83. The proposed commitment directly addresses the risk of vertical effect related to the operation between the trade finance market and the export credit refinancing market.</w:t>
      </w:r>
    </w:p>
    <w:p>
      <w:r>
        <w:t>84. In addition to the explicitly stated prohibition on favoring or offering preferential conditions to LBP, the commitment provides for an ex ante control mechanism of the agent. The conditions for activating this control mechanism correspond to situations in which the risk of eviction of LBP's competitors may materialize.</w:t>
      </w:r>
    </w:p>
    <w:p>
      <w:r>
        <w:t>85. The ex ante control of the agent has a suspensive effect on the decision to refuse refinancing and ensures that such a decision does not result from the implementation of an eviction strategy. The control mechanism provided for by the commitment thus has the effect of depriving SFIL of its ability to evict LBP's competitors, while maintaining its ability to protect its interests as a lender in the face of a commercial bank that does not present sufficient guarantees.</w:t>
      </w:r>
    </w:p>
    <w:p>
      <w:r>
        <w:t>86. This commitment is, moreover, proportionate, as it creates for SFIL a procedural obligation only in the strictly identified case of the occurrence of an eviction risk. Furthermore, as the conditions for activating the control mechanism are strictly identified, it is not likely to deter LBP from entering the French trade finance market.</w:t>
      </w:r>
    </w:p>
    <w:p>
      <w:r>
        <w:t>87. Finally, the ex ante and suspensive nature of the agent's control ensures the full effectiveness of the commitment and eliminates any doubt related to its implementation.</w:t>
      </w:r>
    </w:p>
    <w:p>
      <w:r>
        <w:t>b) The commitment regarding confidentiality</w:t>
      </w:r>
    </w:p>
    <w:p>
      <w:r>
        <w:t>88. The commitment regarding confidentiality directly addresses the competition issue related to the risk of transmitting to LBP information concerning other commercial banks collected by SFIL in the course of its activities, by ensuring that SFIL will not be able to transmit such information.</w:t>
      </w:r>
    </w:p>
    <w:p>
      <w:r>
        <w:t>89. This commitment is also easily enforceable, as it consists of maintaining contractual clauses with a limited number of operators, namely the banks that have entered or will enter into a memorandum of understanding with SFIL.</w:t>
      </w:r>
    </w:p>
    <w:p>
      <w:r>
        <w:t>c) The duration of the commitments</w:t>
      </w:r>
    </w:p>
    <w:p>
      <w:r>
        <w:t>90. The commitments will last until May 7, 2027, and will be renewable once.</w:t>
      </w:r>
    </w:p>
    <w:p>
      <w:r>
        <w:t>91. The initial duration of the commitments is sufficient, as it extends until May 7, 2027, a period for which the European Commission authorized, in its 2020 decision, the extension of SFIL's activities to export credit refinancing and, on the other hand, the Authority can extend this duration if SFIL is still active in the export credit refinancing market beyond May 7, 2027.</w:t>
      </w:r>
    </w:p>
    <w:p>
      <w:r>
        <w:t>92. At the end of this initial period, in the event that the European Commission adopts a decision to renew the authorization for the extension of SFIL's activities to export credit refinancing, the Authority may renew the commitments for a duration corresponding to that provided for by the said decision of the Commission.</w:t>
      </w:r>
    </w:p>
    <w:p>
      <w:r>
        <w:t>DECIDES</w:t>
      </w:r>
    </w:p>
    <w:p>
      <w:r>
        <w:t>Sole Article: The operation notified under number 20-049 is authorized subject to the commitments described in paragraphs 73 to 78 above and annexed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