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https://www.autoritedelaconcurrence.fr/fr/decision-de-controle-des-concentrations/relative-la-prise-de-controle-exclusif-de-la-societe-de</w:t>
      </w:r>
    </w:p>
    <w:p>
      <w:r>
        <w:t>Pages translated : 2</w:t>
      </w:r>
    </w:p>
    <w:p/>
    <w:p>
      <w:r>
        <w:rPr>
          <w:b/>
        </w:rPr>
        <w:t>[Pages 1–2]</w:t>
      </w:r>
    </w:p>
    <w:p>
      <w:r>
        <w:t xml:space="preserve">FRENCH REPUBLIC  </w:t>
        <w:br/>
        <w:t xml:space="preserve">Decision No. 13-DCC-197 of December 24, 2013  </w:t>
        <w:br/>
        <w:t xml:space="preserve">regarding the exclusive control acquisition of the Sarthoise distribution company by ITM Alimentaire Ouest  </w:t>
        <w:br/>
        <w:t xml:space="preserve">The Competition Authority,  </w:t>
        <w:br/>
        <w:t xml:space="preserve">Having regard to the complete notification file submitted to the mergers department on December 6, 2013, concerning the exclusive control acquisition of the Sarthoise distribution company by ITM Alimentaire Ouest, formalized by a letter of intent dated November 29, 2013, accepted on the same day by the Laporte parties;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of the Sarthoise Distribution Company, operating a retail point of sale predominantly dealing in food in the city of Le Mans (72), by ITM Alimentaire Ouest. It constitutes a concentration operation within the meaning of Article L. 430-1 of the Commercial Code. Given the turnover achieved by the companies concerned, the operation does not have a community dimension.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13-240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