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https://www.autoritedelaconcurrence.fr/fr/decision-de-controle-des-concentrations/relative-la-prise-de-controle-exclusif-de-la-societe-delvil</w:t>
      </w:r>
    </w:p>
    <w:p>
      <w:r>
        <w:t>Pages translated : 2</w:t>
      </w:r>
    </w:p>
    <w:p/>
    <w:p>
      <w:r>
        <w:rPr>
          <w:b/>
        </w:rPr>
        <w:t>[Pages 1–2]</w:t>
      </w:r>
    </w:p>
    <w:p>
      <w:r>
        <w:t xml:space="preserve">FRENCH REPUBLIC  </w:t>
        <w:br/>
        <w:t xml:space="preserve">Decision No. 14-DCC-38 of March 14, 2014  </w:t>
        <w:br/>
        <w:t xml:space="preserve">regarding the exclusive control acquisition of the company Delvil  </w:t>
        <w:br/>
        <w:t xml:space="preserve">by the company ITM Alimentaire Sud-Est  </w:t>
        <w:br/>
        <w:t xml:space="preserve">The Competition Authority,  </w:t>
        <w:br/>
        <w:t xml:space="preserve">Having regard to the complete notification file submitted to the mergers department on February 13, 2014,  </w:t>
        <w:br/>
        <w:t xml:space="preserve">concerning the exclusive control acquisition of the company Delvil by the company ITM Alimentaire Sud-Est, materialized by a synallagmatic promise of share transfers dated December 15, 2006, and a settlement agreement dated March 8,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Delvil, operating a food-dominant business under the Intermarché brand in the city of Venelles (13), by the company ITM Alimentaire Sud-Est.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14-024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