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https://www.autoritedelaconcurrence.fr/fr/decision-de-controle-des-concentrations/relative-la-prise-de-controle-exclusif-de-la-societe-deruaz</w:t>
      </w:r>
    </w:p>
    <w:p>
      <w:r>
        <w:t>Pages translated : 2</w:t>
      </w:r>
    </w:p>
    <w:p/>
    <w:p>
      <w:r>
        <w:rPr>
          <w:b/>
        </w:rPr>
        <w:t>[Pages 1–2]</w:t>
      </w:r>
    </w:p>
    <w:p>
      <w:r>
        <w:t xml:space="preserve">FRENCH REPUBLIC  </w:t>
        <w:br/>
        <w:t xml:space="preserve">Decision No. 18-DCC-38 of March 16, 2018  </w:t>
        <w:br/>
        <w:t xml:space="preserve">regarding the exclusive control acquisition of the company Deruaz Auto SAS  </w:t>
        <w:br/>
        <w:t xml:space="preserve">by the company Central Autos Holding SAS  </w:t>
        <w:br/>
        <w:t xml:space="preserve">The Competition Authority,  </w:t>
        <w:br/>
        <w:t xml:space="preserve">Having regard to the complete notification file submitted to the mergers department on February 19, 2018,  </w:t>
        <w:br/>
        <w:t xml:space="preserve">concerning the exclusive control acquisition of the company Deruaz Auto SAS by the company Central Autos Holding SAS and formalized by a share transfer agreement dated December 22,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Deruaz Auto SAS, operating two car dealerships located in Isère (38) and one car dealership in Rhône (69), by the company Central Autos Holding SAS, which is itself active in the automotive distribution markets. It constitutes a concentration operation within the meaning of Article L. 430-1 of the Commercial Code. Given the turnover achieved by the companies involved,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18-021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