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https://www.autoritedelaconcurrence.fr/fr/decision-de-controle-des-concentrations/relative-la-prise-de-controle-exclusif-de-la-societe-dia</w:t>
      </w:r>
    </w:p>
    <w:p>
      <w:r>
        <w:t>Pages translated : 32</w:t>
      </w:r>
    </w:p>
    <w:p/>
    <w:p>
      <w:r>
        <w:rPr>
          <w:b/>
        </w:rPr>
        <w:t>[Pages 1–3]</w:t>
      </w:r>
    </w:p>
    <w:p>
      <w:r>
        <w:t xml:space="preserve">FRENCH REPUBLIC  </w:t>
        <w:br/>
        <w:t xml:space="preserve">Decision No. 14-DCC-173 of November 21, 2014  </w:t>
        <w:br/>
        <w:t xml:space="preserve">regarding the exclusive control of Dia France SAS  </w:t>
        <w:br/>
        <w:t xml:space="preserve">by Carrefour France SAS  </w:t>
        <w:br/>
        <w:t xml:space="preserve">The Competition Authority,  </w:t>
        <w:br/>
        <w:t xml:space="preserve">Having regard to the referral request submitted on July 14, 2014, by Carrefour France and the referral decision of the European Commission of August 18, 2014, made pursuant to Article 4, paragraph 4 of Regulation (EC) No. 139/2004 of the Council;  </w:t>
        <w:br/>
        <w:t xml:space="preserve">Having regard to the notification file sent to the merger service on September 25, 2014, and declared complete on October 20, 2014, regarding the exclusive control of Dia France SAS by Carrefour France SAS, formalized by a share purchase and sale agreement comprising the entirety of the capital of Dia France dated July 30, 2014;  </w:t>
        <w:br/>
        <w:t xml:space="preserve">Having regard to Book IV of the Commercial Code relating to price freedom and competition, and in particular Articles L. 430-1 to L. 430-7;  </w:t>
        <w:br/>
        <w:t xml:space="preserve">Having regard to the commitments presented on November 3 and 14, 2014, by the notifying party;  </w:t>
        <w:br/>
        <w:t xml:space="preserve">Having regard to the other documents in the file;  </w:t>
        <w:br/>
        <w:t xml:space="preserve">Adopts the following decision:  </w:t>
        <w:br/>
        <w:t xml:space="preserve">I. The concerned companies and the operation  </w:t>
        <w:br/>
        <w:t xml:space="preserve">1. Carrefour France SAS is a 100% subsidiary of Carrefour SA, the parent company of the Carrefour group (hereinafter collectively referred to as "Carrefour"). Carrefour is active in the retail sector predominantly selling food as well as in wholesale distribution predominantly selling food in France and worldwide. Carrefour operates in 34 countries with over 10,100 stores across four continents (Europe, South America, Africa, and Asia). In France, the Carrefour group operates 4,714 stores (hypermarkets, supermarkets, convenience stores, cash and carry), under the brands Carrefour, Carrefour Market, Carrefour City, Carrefour Contact, Carrefour Express, Carrefour Montagne, Huit à 8, Marché Plus, Proxi, Promocash. The Carrefour group also has a drive activity and various e-commerce sites, one for food (Ooshop) and another for non-food (On Line Carrefour).  </w:t>
        <w:br/>
        <w:t xml:space="preserve">2. Carrefour also enters into brand and supply contracts with companies operating retail stores predominantly selling food, allowing them to operate their points of sale under one of the Carrefour group brands, to source from its purchasing centers, to benefit from suppliers referenced by Carrefour and the group's purchasing conditions, and finally to benefit from services offered by Carrefour.  </w:t>
        <w:br/>
        <w:t xml:space="preserve">3. Dia France SAS (hereinafter "Dia") is the 100% French subsidiary of the Spanish company Dia SA. It is active in the food retail distribution sector in the discount segment through self-service points of sale and online sales. Dia SA was established in 1979 in Spain by the French group Promodès. Following the merger-absorption of Promodès by Carrefour in 2000, it became a subsidiary of the Carrefour group. However, the Carrefour group divested these activities in July 2011 by listing Dia SA on the Madrid Stock Exchange. Dia SA operates in six countries (France, Spain, Portugal, China, Brazil, and Argentina). In France, Dia has 812 stores as of December 31, 2014. These points of sale include 643 supermarkets and 169 discount convenience stores. Dia also operates three points of sale specializing in fresh fruits and vegetables under the Dia Fresh brand. Finally, Dia operates four diadiscount.com points of sale offering an online shopping service in the form of a drive.  </w:t>
        <w:br/>
        <w:t xml:space="preserve">4. The operation, formalized by a share purchase and sale agreement dated July 30, 2014, consists of the acquisition of Dia France SAS by Carrefour France SAS. As it results in the exclusive control of Dia by Carrefour, the notified operation constitutes a concentration operation within the meaning of Article L. 430-1 of the Commercial Code.  </w:t>
        <w:br/>
        <w:t xml:space="preserve">5. This operation falls under the competence of the European Union pursuant to Article 1, paragraph 2 of Regulation (EC) No. 139/2004 of the Council concerning the control of concentrations between undertakings. Indeed, the concerned companies have achieved a consolidated worldwide turnover of more than 5 billion euros (Carrefour: 74.9 billion euros for the fiscal year ending December 31, 2013; Dia: 1.9 billion euros for the same fiscal year). Furthermore, each of them has achieved a turnover in the European Union exceeding 250 million euros (Carrefour: 54.7 billion euros for the fiscal year ending December 31, 2013; Dia: 1.9 billion euros for the same fiscal year) and only the target generates more than two-thirds of its turnover in a single Member State.  </w:t>
        <w:br/>
        <w:t>6. However, on July 14, 2014, Carrefour requested the European Commission, through a reasoned memorandum, to refer the operation to the Competition Authority, pursuant to Article 4, paragraph 4 of Regulation (EC) No. 139/2004 of the Council. By decision No. COMP/M.7663 Carrefour France/Dia France dated August 18, 2014, the European Commission considered that the conditions for referral were met. The acquisition of Dia by Carrefour is therefore subject, pursuant to point IV of Article L. 430-2 of the Commercial Code, to French merger control. The notification was sent to the Competition Authority on September 25, 2014.</w:t>
      </w:r>
    </w:p>
    <w:p>
      <w:r>
        <w:t xml:space="preserve">II. Definition of the relevant markets  </w:t>
        <w:br/>
        <w:t xml:space="preserve">7. The markets concerned by the operation fall within the sector of food retail distribution.  </w:t>
        <w:br/>
        <w:t xml:space="preserve">8. According to the consistent practice of national and European competition authorities, two categories of markets can be delineated in the food retail distribution sector: the upstream markets for the supply of consumer goods and the downstream markets for food retail distribution.  </w:t>
        <w:br/>
        <w:t xml:space="preserve">A. UPSTREAM SUPPLY MARKETS  </w:t>
        <w:br/>
        <w:t xml:space="preserve">9. According to a consistent decision-making practice, companies in the food distribution sector are present in the upstream supply market, which includes the sale of everyday consumer goods by producers to customers such as wholesalers, retailers, or other businesses (for example, cafés/hotels/restaurants). The decision-making practice of competition authorities does not distinguish based on the distribution channel.  </w:t>
        <w:br/>
        <w:t xml:space="preserve">10. The analysis of the upstream market is conducted by product category, namely:  </w:t>
        <w:br/>
        <w:t xml:space="preserve">- Consumer goods: (1) liquids, (2) drugstore, (3) perfumery and hygiene, (4) dry grocery, (5) parapharmacy, (6) perishable goods in self-service;  </w:t>
        <w:br/>
        <w:t xml:space="preserve">- Traditional fresh: (7) delicatessen, (8) fishmonger, (9) fruits and vegetables, (10) fresh bread and pastries, (11) butcher;  </w:t>
        <w:br/>
        <w:t xml:space="preserve">- Bazaar: (12) DIY, (13) home, (14) culture, (15) toys, leisure and relaxation, (16) garden, (17) automotive;  </w:t>
        <w:br/>
        <w:t xml:space="preserve">- Household appliances/Photo/Cinema/Sound: (18) large household appliances, (19) small household appliances, (20) photo/cinema, (21) Hi-fi/sound, (22) TV/video;  </w:t>
        <w:br/>
        <w:t xml:space="preserve">- Textiles: (23) textiles/shoes.  </w:t>
        <w:br/>
        <w:t>11. Although this segmentation was confirmed by the market test, several respondents rightly noted the absence of a specific category for frozen products. In this case, the addition of this new category would have no impact on the conclusions of the competitive analysis.</w:t>
      </w:r>
    </w:p>
    <w:p>
      <w:r>
        <w:rPr>
          <w:b/>
        </w:rPr>
        <w:t>[Pages 4–6]</w:t>
      </w:r>
    </w:p>
    <w:p>
      <w:r>
        <w:t xml:space="preserve">12. Finally, from a geographical perspective, the consistent decision-making practice of the competition authorities considers that supply markets are of national geographical dimension. The national dimension of the upstream market has, in this case, been confirmed by most of the suppliers who responded to the market test.  </w:t>
        <w:br/>
        <w:t xml:space="preserve">13. There is therefore no reason to challenge the decision-making practice in the context of the present operation.  </w:t>
        <w:br/>
        <w:t xml:space="preserve">B. DOWNSTREAM DISTRIBUTION MARKETS  </w:t>
        <w:br/>
        <w:t xml:space="preserve">14. In addition to the market for retail trade predominantly selling food, Carrefour is active in the wholesale self-service market (cash &amp; carry). This product market is distinct from that of retail trade. However, the operation does not result in any overlap of activities between the parties in the wholesale self-service market.  </w:t>
        <w:br/>
        <w:t xml:space="preserve">1. SERVICE MARKETS  </w:t>
        <w:br/>
        <w:t xml:space="preserve">15. The decision-making practice of the competition authorities distinguishes within the downstream retail market two main categories of sales outlets:  </w:t>
        <w:br/>
        <w:t xml:space="preserve">- food-dominant businesses, of which more than one-third of the turnover comes from the sale of food products, and  </w:t>
        <w:br/>
        <w:t xml:space="preserve">- non-food businesses, whose turnover from food products is below this threshold.  </w:t>
        <w:br/>
        <w:t xml:space="preserve">16. The general food offering provided by food-dominant businesses allows consumers to obtain a complete range of primarily food products in a limited time and in a single space.  </w:t>
        <w:br/>
        <w:t xml:space="preserve">17. In terms of food-dominant distribution, the decision-making practice has had the opportunity to consider the competitive interactions between so-called "generalist" stores (a) and sales outlets whose assortment is more specific, such as so-called "popular" stores (b) and specialized food retail forms (c). The competitive pressure exerted on physical food-dominant distribution by online commerce must also be assessed (d).  </w:t>
        <w:br/>
        <w:t xml:space="preserve">a) Generalist food-dominant stores  </w:t>
        <w:br/>
        <w:t xml:space="preserve">18. Regarding the retail sale of everyday consumer goods, the decision-making practice distinguishes six categories of trade using several criteria, including the size of the stores, their sales techniques, their accessibility, the nature of the service provided, and the extent of the product ranges offered: (i) hypermarkets (stores predominantly selling food with a legal sales area exceeding 2,500 m²), (ii) supermarkets (between 400 and 2,500 m²), (iii) specialized trade, (iv) small retail trade (less than 400 m²), (v) discount stores, (vi) mail-order sales.  </w:t>
        <w:br/>
        <w:t xml:space="preserve">19. Within small retail trade, small self-service stores offering a narrow range of everyday products (an area of less than 120 m²) and mini-markets whose product offering is slightly more extensive (area between 120 and 400 m²) are distinguished.  </w:t>
        <w:br/>
        <w:t xml:space="preserve">20. It should be recalled that the area thresholds must be used with caution and may be adapted to the specific case, as stores whose area is near a threshold, either below or above, may find themselves in direct competition with stores of another category.  </w:t>
        <w:br/>
        <w:t xml:space="preserve">21. The competition authorities consider that, while each category of store retains its specificity, there is asymmetric competition between certain of these categories. They thus distinguish:  </w:t>
        <w:br/>
        <w:t xml:space="preserve">- a market comprising only hypermarkets; and  </w:t>
        <w:br/>
        <w:t xml:space="preserve">- a market comprising supermarkets and equivalent forms of trade (hypermarkets, discount stores, and popular stores) excluding small retail trade (less than 400 m²).  </w:t>
        <w:br/>
        <w:t xml:space="preserve">i. For the whole of France:  </w:t>
        <w:br/>
        <w:t xml:space="preserve">22. Regarding small retail trade, the decision-making practice has also highlighted the existence of an asymmetric competitive relationship with other forms of trade. In certain geographical configurations, a hypermarket, a supermarket, or a discount store of more than 400 m² may typically be used by some consumers as a convenience store, substituting for a mini-market, while the reverse is not true. Thus, while hypermarkets and supermarkets exert strong competition on small retail trade (less than 400 m²), the reverse is almost never verified.  </w:t>
        <w:br/>
        <w:t xml:space="preserve">23. Convenience stores therefore face competition from other convenience stores as well as from supermarkets, discount stores, and hypermarkets.  </w:t>
        <w:br/>
        <w:t xml:space="preserve">24. Almost all competitors surveyed during the market test confirm this approach, particularly in that it distinguishes between hypermarkets, supermarkets, and convenience trade based on sales area thresholds.  </w:t>
        <w:br/>
        <w:t xml:space="preserve">ii. In inner Paris:  </w:t>
        <w:br/>
        <w:t xml:space="preserve">25. Given the small size of food stores in Paris, there is greater substitutability in Paris than in the provinces between small convenience trade (whose total area is less than 400 m²) and nearby supermarkets and hypermarkets. In light of these characteristics, the decision-making practice has adopted a specific approach regarding mini-markets and small self-service stores in the Paris market.  </w:t>
        <w:br/>
        <w:t xml:space="preserve">26. In its opinion of May 5, 1998, regarding the acquisition by Casino of Franprix-Leader Price, the Competition Council noted "that a substantial part of the clientele of convenience stores consists of people walking to the sales location, making everyday purchases of small amounts; thus, these stores meet a need for proximity and their catchment area is primarily constituted by purchases likely to be made by households located within a radius of approximately 500 m around the store."  </w:t>
        <w:br/>
        <w:t xml:space="preserve">27. Furthermore, small retail trade offers a range capable of competing with supermarkets. In its decision No. 10-D-08 of March 3, 2010, regarding practices implemented by Carrefour in the sector of general food convenience trade, the Competition Authority based its assessment on the similarity of the services offered (opening hours, delivery), the product ranges, and the structure of sales by range (assortment including both entry-level and private label products as well as national brands and high-value-added products) to consider that there was substitutability between small retail trade and small supermarkets located in city centers.  </w:t>
        <w:br/>
        <w:t xml:space="preserve">28. The responses obtained from the market test in the context of the examination of the present operation confirm that the distinction between these different store formats is not justified in the Paris market.  </w:t>
        <w:br/>
        <w:t xml:space="preserve">29. Specifically regarding small self-service stores (area less than 120 m²), distributors active in Paris mostly consider that they exert competitive pressure on mini-markets (area between 120 and 400 m²). In both cases, the operating hours are an important asset, and each of these formats corresponds to a demand for emergency purchases. These sales outlets offer a proximity offer and respond to a demand for occasional and quick purchases from customers. Conversely, according to the responses to the market test, small self-service stores would not exert competitive pressure on supermarkets in Paris. The average purchase baskets, purchase frequency, and price levels practiced would be notably different there.  </w:t>
        <w:br/>
        <w:t xml:space="preserve">30. The relevant market in Paris thus includes all formats of generalist trade: small retail trade, supermarkets, popular stores, discount stores, and hypermarkets. Regarding small self-service stores, in accordance with the findings made in the context of the market test, they will only be taken into account in the competitive analysis when the target store is a mini-market.  </w:t>
        <w:br/>
        <w:t xml:space="preserve">b) Popular stores  </w:t>
        <w:br/>
        <w:t xml:space="preserve">31. The so-called "popular" stores are characterized by a non-food assortment (notably textiles and beauty products) richer than that of supermarkets. Monoprix-branded stores currently represent the bulk of this category.  </w:t>
        <w:br/>
        <w:t>32. It is necessary to question whether the assessment of the positions of the parties and their competitors should consider the total sales area of popular stores or only their food sales area.</w:t>
      </w:r>
    </w:p>
    <w:p>
      <w:r>
        <w:rPr>
          <w:b/>
        </w:rPr>
        <w:t>[Pages 7–9]</w:t>
      </w:r>
    </w:p>
    <w:p>
      <w:r>
        <w:t xml:space="preserve">33. In the Authority's decision regarding the Casino/Monoprix operation, the competitive analysis was conducted outside of Paris by considering the total floor space of these stores, a choice that nonetheless had no impact on the results of the competitive analysis.  </w:t>
        <w:br/>
        <w:t xml:space="preserve">34. In the present case, the notifying party argues that the Monoprix branded stores exert direct competition on its own points of sale and that the entirety of their sales area should be taken into account in the calculation of market shares. The notifying party recalls that since 2011, Nielsen panels no longer classify Monoprix points of sale among "popular stores" but among food-dominant retail.  </w:t>
        <w:br/>
        <w:t xml:space="preserve">35. Just like hypermarkets, Monoprix stores have a significant non-food area. This characteristic places these stores in direct competitive relation with hypermarkets. On the other hand, the overall offering of Monoprix stores presents characteristics that are less directly comparable to those of supermarkets or convenience stores, in which non-food sections (textiles; beauty products; miscellaneous goods) are much more limited.  </w:t>
        <w:br/>
        <w:t xml:space="preserve">36. The operators surveyed in the market test did not provide any elements to resolve the issue. The effects of the operation will therefore be examined by considering only the food sales area of Monoprix stores, the most conservative assumption for the notifying party. This examination is also consistent with the profile of the target points of sale, which offer almost no non-food products. In any case, the results of the competitive analysis being similar when considering the total sales area of Monoprix stores for almost all examined areas, the question of the type of area to be taken into account for Monoprix stores can be left open.  </w:t>
        <w:br/>
        <w:t xml:space="preserve">c) Other forms of food retail  </w:t>
        <w:br/>
        <w:t xml:space="preserve">37. The notifying party contends that all specialized retailers (namely, stores specializing in organic products or frozen foods, so-called "food shops," and food markets) exert real competition on the parties. According to it, for example, frozen food specialists offer a very wide range of products that constitute a substitutable offer to that of food-dominant retail stores. Specialized food shops would also exert competitive pressure on certain sections of generalist distributors.  </w:t>
        <w:br/>
        <w:t xml:space="preserve">38. However, decision-making practice has excluded all forms of specialized retail from the food-dominant retail market insofar as the competition from specialized shops only affects a small part of the assortment of generalist food stores. Even when sourcing from all available specialized shops in a catchment area, it is difficult, if not impossible, for a consumer to replicate the complete assortment of a basket of everyday consumer products, similar to that obtained in a convenience store or supermarket.  </w:t>
        <w:br/>
        <w:t xml:space="preserve">39. Furthermore, the act of purchasing within generalist food stores is characterized by a uniqueness of place and time that allows the consumer to assemble a basket of everyday products in one go and within a limited time, thus limiting the transaction costs that would result from aggregating similar products but located in different specialized shops.  </w:t>
        <w:br/>
        <w:t xml:space="preserve">40. The European Commission has thus noted that "purchases made in specialized shops, such as butcheries or bakeries, are not substitutable for more general purchases made in a supermarket or in other forms of food retail, during which the consumer finds all the items they need in a single point of sale ('one-stop shop')."  </w:t>
        <w:br/>
        <w:t xml:space="preserve">41. The European Commission has therefore considered that these alternative shops do not allow the consumer to constitute a basket of everyday goods. In the Promodès/Casino case, the Commission further explained that the exclusion of specialized retail from the food-dominant retail market is justified by the fact that "this category does not provide an assortment of everyday consumer goods and [that] the stores in question, generally of small size, present an assortment limited to a family of products, at a price level generally higher than in other forms of retail, at least in food, the consumer, moreover, being served by one or more sellers."  </w:t>
        <w:br/>
        <w:t xml:space="preserve">42. Organic stores (hereinafter "bio"), which are a type of specialized store, fall within the scenario outlined by the Commission. The assortment of products offered there is more limited and the prices are higher than in generalist food-dominant stores. Furthermore, purchases of organic products represent a minor share of the purchases made by consumers. A recent study indicates that in 2013, on average, the French spent only 64 euros on organic food products, representing 2.3% of their food consumption expenditures. The weight of organic stores must also be put into perspective as large food retailers account for nearly half of expenditures on organic products.  </w:t>
        <w:br/>
        <w:t xml:space="preserve">43. Specialized shops do not therefore constitute a real alternative to which demand would shift in the event of price increases in large retail stores, but rather an additional source of supply for specific products. The majority of respondents to the market test thus confirmed that specialized shops should be excluded from the relevant market of physical points of sale in food-dominant retail.  </w:t>
        <w:br/>
        <w:t xml:space="preserve">44. In fact, decision-making practice has had the opportunity to note that, due to the distinct positioning of specialized shops, in terms of offering or price, they are presented as more complementary than substitutable in relation to the offering of generalist shops.  </w:t>
        <w:br/>
        <w:t xml:space="preserve">45. The different types of specialized food retail have therefore been excluded from the relevant market. In this regard, in particular, retail brands that generate the vast majority of their turnover from fresh products are excluded from the analysis (for example, Grand Frais or the Halles d'Auchan). Dia Fresh stores, which primarily offer fresh products and fruits and vegetables with a limited number of references (fewer than [...]), are also excluded from the analysis.  </w:t>
        <w:br/>
        <w:t xml:space="preserve">d) Online food retail  </w:t>
        <w:br/>
        <w:t xml:space="preserve">46. E-commerce for food products is divided into two distinct models: home delivery and "drive," which should be distinguished.  </w:t>
        <w:br/>
        <w:t xml:space="preserve">i. The drive  </w:t>
        <w:br/>
        <w:t xml:space="preserve">47. The drive consists of an offer of fast-moving consumer goods predominantly food-related that the consumer orders online to then pick up in-store or at a dedicated point of sale. There are currently two models of drive: car drive and pedestrian drive.  </w:t>
        <w:br/>
        <w:t xml:space="preserve">48. Car drive allows the customer to collect their groceries without leaving their car, with store personnel coming to place the order directly in the trunk of their vehicle. The configuration of car drives can take three forms: isolated warehouses dedicated solely to drive activity, warehouses attached to a store, or stores used to prepare drive orders ("picking store"). Pedestrian drive is set up within existing stores and consists of offering the customer the option to pick up an order made online at the store's reception.  </w:t>
        <w:br/>
        <w:t xml:space="preserve">49. Dia's drive activity is very limited. Dia currently operates only four diadiscount.com points of sale offering online retail services in the form of drive (three in Paris and one in Verrières-le-Buisson (91)).  </w:t>
        <w:br/>
        <w:t xml:space="preserve">50. Carrefour also offers online drive services. However, the group does not have any drive in Paris, nor in an area located less than 20 minutes from Dia's drive in Verrières-le-Buisson (91).  </w:t>
        <w:br/>
        <w:t xml:space="preserve">51. The precise delineation of the drive market can therefore remain open as the operation does not lead to any overlap of activities between the parties for this type of activity.  </w:t>
        <w:br/>
        <w:t>52. On the other hand, the question of the competitive pressure exerted by drives on physical points of sale remains. The Authority has recently considered that isolated drives compete with hypermarkets and should be treated as physical points of sale (which would not be the case for attached drives). A market test regarding the issue of drives was conducted in the context of the present case.</w:t>
      </w:r>
    </w:p>
    <w:p>
      <w:r>
        <w:rPr>
          <w:b/>
        </w:rPr>
        <w:t>[Pages 10–12]</w:t>
      </w:r>
    </w:p>
    <w:p>
      <w:r>
        <w:t xml:space="preserve">results confirm that isolated drive-throughs can be considered substitutes for physical points of sale, with an isolated drive-through equivalent to a point of sale of non-negligible size in terms of customer attraction. The majority of respondents to the market test explain that it is therefore appropriate to take into account the presence of drive-throughs in the catchment areas affected by the operation. In contrast, respondents indicate that a drive-through cannot be directly equated to a physical point of sale; in particular, it emerges from the market test that the storage areas of drive-throughs do not equate to the sales areas of supermarkets or hypermarkets.  </w:t>
        <w:br/>
        <w:t xml:space="preserve">53. The competitive analysis therefore took these elements into account by considering, among the operators in a given catchment area, the presence of isolated drive-throughs. However, the presence of these drive-throughs has no effect on the market shares of the various local operators.  </w:t>
        <w:br/>
        <w:t xml:space="preserve">ii. Home delivery  </w:t>
        <w:br/>
        <w:t xml:space="preserve">54. The Competition Authority considered in the examination of the Casino/Monoprix operation that while the online food offering indeed provided a breadth and depth of range comparable to that of hypermarkets, the development of the online food market remained too limited to have an impact on the market shares of the parties, both in Paris and in the rest of the national territory.  </w:t>
        <w:br/>
        <w:t xml:space="preserve">55. In this case, only Carrefour offers home delivery services. In the absence of any overlap in activities between the parties, the issue of online sales may remain open.  </w:t>
        <w:br/>
        <w:t xml:space="preserve">2. GEOGRAPHICAL MARKETS  </w:t>
        <w:br/>
        <w:t xml:space="preserve">56. The decision-making practice has defined distinct geographical markets depending on whether the areas concerned are located in the provinces (a) or in Paris (b). Furthermore, the areas located in the inner and outer suburbs of Paris will be the subject of specific developments (c).  </w:t>
        <w:br/>
        <w:t xml:space="preserve">a) Markets for food-dominant distribution located outside Paris  </w:t>
        <w:br/>
        <w:t xml:space="preserve">57. The competition authorities examined the effects of concentrations in the food-dominant retail sector at the local level, corresponding to the catchment area associated with each store and whose extent is dependent on the travel time for the consumer.  </w:t>
        <w:br/>
        <w:t xml:space="preserve">58. The Competition Authority has repeatedly emphasized that the conditions of competition are assessed in two different areas:  </w:t>
        <w:br/>
        <w:t xml:space="preserve">- a first market where the demand from consumers in an area meets the supply of hypermarkets to which they have access within less than 30 minutes of travel by car and which are, from their point of view, substitutable for each other, and  </w:t>
        <w:br/>
        <w:t xml:space="preserve">- a second market where the demand from consumers meets the supply of supermarkets and equivalent forms of trade located within less than 15 minutes of travel by car. These latter forms of trade may include, in addition to supermarkets, hypermarkets located close to consumers and discount stores.  </w:t>
        <w:br/>
        <w:t xml:space="preserve">59. The Authority therefore considers that the competitive analysis only pertains to the second market when the target store is a supermarket, the first market being taken into account only when the target store is a hypermarket. In this case, since Dia does not operate any hypermarkets, the effects of the operation will be examined in an area corresponding to a 15-minute drive from the target stores.  </w:t>
        <w:br/>
        <w:t xml:space="preserve">60. Furthermore, the decision-making practice has specified that "the category of small retail trade whose points of sale have an area of less than 400 m² (...) is characterized by a clientele predominantly composed of people living within 500 meters of the point of sale, walking to the sales location and making low-value purchases." In several recent decisions, the effects of concentration operations concerning points of sale with an area of less than 400 m² have been examined in catchment areas corresponding to a travel time of 10 minutes on foot.  </w:t>
        <w:br/>
        <w:t xml:space="preserve">61. These geographical delimitations have been confirmed by a majority of respondents to the market test.  </w:t>
        <w:br/>
        <w:t xml:space="preserve">62. The Authority, however, consistently reminds that these delimitations are subject to change on a case-by-case basis, depending on the characteristics of the local area, since other criteria may be taken into account to assess the impact of a concentration on the competitive situation in retail distribution markets, which may lead to refining, in the specific case, the usual delimitations presented above.  </w:t>
        <w:br/>
        <w:t xml:space="preserve">63. The Authority noted in its decision regarding the Casino/Monoprix operation that certain characteristics of large provincial cities (population density, traffic conditions) could justify retaining smaller catchment areas for hypermarkets and supermarkets. It thus analyzed the effects of the operation both in areas corresponding to the decision-making practice applicable to the rest of the national territory and in more restricted areas, corresponding to a travel time of 10 minutes by car around the target stores. The market test in this case does not call into question the relevance of this approach.  </w:t>
        <w:br/>
        <w:t xml:space="preserve">64. However, it is not necessary to definitively resolve the exact delimitation of the relevant markets in large provincial cities, as this is without consequence for the competitive analysis.  </w:t>
        <w:br/>
        <w:t xml:space="preserve">b) Markets for food-dominant distribution in Paris  </w:t>
        <w:br/>
        <w:t xml:space="preserve">65. The Authority considered that, in the Paris market, "the catchment area can (...) be delineated around a radius of between 300 and 500 meters."  </w:t>
        <w:br/>
        <w:t xml:space="preserve">66. In accordance with this decision-making practice, the notifying party has delineated catchment areas comprising:  </w:t>
        <w:br/>
        <w:t xml:space="preserve">- convenience stores, supermarkets, hypermarkets, discount stores, and popular stores present within a radius of 300 meters around a target point of sale when it has an area of less than 400 m²;  </w:t>
        <w:br/>
        <w:t xml:space="preserve">- convenience stores, supermarkets, hypermarkets, discount stores, and popular stores present within a radius of 500 meters around a target point of sale when it has an area greater than 400 m².  </w:t>
        <w:br/>
        <w:t xml:space="preserve">67. The respondents to the market test confirmed the relevance of these delineations. The analysis will therefore focus, in Paris, on areas corresponding to a radius of 300 meters around a target point of sale when it has an area of less than 400 m² and 500 meters when it has an area greater than 400 m².  </w:t>
        <w:br/>
        <w:t xml:space="preserve">68. Furthermore, in its decision regarding the Casino/Monoprix operation, the Authority deemed it justified to take into account in the catchment areas thus defined within the city of Paris the competitive pressure exerted by hypermarkets located within a radius of two kilometers around the target stores. Eleven hypermarkets in the nearby suburbs can thus be considered as exerting competitive pressure on stores located in the Parisian arrondissements on the periphery.  </w:t>
        <w:br/>
        <w:t xml:space="preserve">69. In this case, the data collected in the market test from operators who operate hypermarkets in the nearby suburbs confirm that a significant share of their clientele (up to 40%) comes from Paris. However, this clientele is concentrated in the neighborhoods of Paris closest to each concerned hypermarket.  </w:t>
        <w:br/>
        <w:t xml:space="preserve">70. The competitive analysis will therefore take into account the presence of hypermarkets in the nearby suburbs located two kilometers from the target store. The methodology adopted is specified in the section relating to the competitive analysis of local areas.  </w:t>
        <w:br/>
        <w:t xml:space="preserve">c) Markets for food-dominant distribution in the inner and outer suburbs of Paris  </w:t>
        <w:br/>
        <w:t xml:space="preserve">71. The decision-making practice has considered areas corresponding to a 10-minute drive around supermarkets located in the nearby suburbs of Paris.  </w:t>
        <w:br/>
        <w:t xml:space="preserve">72. The vast majority of responses from competitors in the market test confirmed the relevance of this delimitation for the inner suburbs.  </w:t>
        <w:br/>
        <w:t xml:space="preserve">73. The analysis in the inner suburbs therefore focused on areas corresponding to a 10-minute drive around the target stores.  </w:t>
        <w:br/>
        <w:t>74. Regarding the outer suburbs, the catchment areas resemble, depending on the case, either very urbanized areas – catchment areas corresponding to a 10-minute drive – or, conversely, very rural areas – areas corresponding to a 15-minute drive.</w:t>
      </w:r>
    </w:p>
    <w:p>
      <w:r>
        <w:rPr>
          <w:b/>
        </w:rPr>
        <w:t>[Pages 13–15]</w:t>
      </w:r>
    </w:p>
    <w:p>
      <w:r>
        <w:t xml:space="preserve">minutes–. Thus, for the cities of the greater Paris area where the results of the competitive analysis varied depending on whether a 10 or 15-minute zone around the target supermarket was considered, the notifying party provided maps locating 80% of the loyalty card holders of the store (method known as the "actual footprint"). It is the examination of this actual footprint that allowed for the selection, on a case-by-case basis, of the size of the area most representative of the location of the clientele of the concerned points of sale.  </w:t>
        <w:br/>
        <w:t xml:space="preserve">III. Competitive Analysis  </w:t>
        <w:br/>
        <w:t xml:space="preserve">75. The competitive analysis will focus on the upstream markets for the supply of consumer goods (A) and the downstream markets for food retail (B) in which Carrefour and Dia are simultaneously present.  </w:t>
        <w:br/>
        <w:t xml:space="preserve">A. ANALYSIS OF THE EFFECTS OF THE OPERATION ON THE UPSTREAM MARKETS FOR THE SUPPLY OF CONSUMER GOODS  </w:t>
        <w:br/>
        <w:t xml:space="preserve">76. At the national level, the notifying party estimates that the weight of the new entity will be a total of [20-30]% in value, across all product categories. Its market shares will be in the range of [10-20]% to [20-30]% for consumer goods (dry groceries, liquids, etc.), [10-20]% to [20-30]% for fresh products (fruits and vegetables, butchery, fishmonger, etc.), [0-5]% to [20-30]% for so-called "bazaar" products (automotive, DIY, home, etc.), [0-5]% for textiles, and [0-5]% to [10-20]% for household appliances and IT products.  </w:t>
        <w:br/>
        <w:t xml:space="preserve">77. The new entity will still face competition in the supply market from major operators such as Leclerc ([10-20]% of the overall supply market) and ITM ([10-20]%). Furthermore, several alliances between brands in the upstream market are underway. Thus, Auchan and Système U on one hand, and Casino and ITM on the other, have just concluded a rapprochement of their purchases of major brand products, their combined market shares in the upstream market would then be close to those of the parties.  </w:t>
        <w:br/>
        <w:t xml:space="preserve">78. The decision-making practice of the European Commission notes in this regard that "the purchasing volumes of retailers being linked to their market shares, their position downstream plays a determining role in their position relative to producers. Consequently, purchasing power is a reference criterion in the negotiation of purchasing conditions granted to distributors by their suppliers. These purchasing conditions themselves constitute a determining factor for resale prices to consumers and therefore exert a notable influence in the competitive dynamics among distributors."  </w:t>
        <w:br/>
        <w:t xml:space="preserve">79. Furthermore, by proceeding with the spin-off of Dia from the Carrefour group, the parties had concluded a cooperation agreement concerning, among other things, the establishment and drafting of specifications for private label products, the search and selection of suppliers capable of providing products under the best market conditions, and the joint negotiation of purchasing conditions for certain private label products. The existence of this agreement, which only ended on July 4, 2014, mitigates the impact of the operation on the upstream market to the extent that Dia and Carrefour were still partially sourcing together until a very recent period.  </w:t>
        <w:br/>
        <w:t xml:space="preserve">80. The operation will also only result in a limited strengthening of Carrefour's purchasing power, with the market share increment resulting from the operation being between [0-5]% (bazaar, textiles, and household appliances) and [0-5]% (fruits and vegetables).  </w:t>
        <w:br/>
        <w:t xml:space="preserve">81. However, the operation occurs in markets where supply is much less concentrated than demand and could therefore have the effect of placing some of its suppliers in a situation of economic dependence. This risk is assessed in light of the share that a sales outlet represents in the supplier's overall sales. Competition authorities consider that there is a "threshold of threat" beyond which the survival of the manufacturer may be at stake, the disappearance of this outlet pushing, in the short or medium term, the supplier into a difficult financial situation, even towards bankruptcy. The level of this threshold is not fixed and depends on a large number of specific parameters according to the sectors concerned, the structure and financial situation of the companies, the existence and cost of potential alternative solutions. This threshold has been set at 22% during the examination of operations in the food retail sector.  </w:t>
        <w:br/>
        <w:t xml:space="preserve">82. In this case, among the eighty respondents to the market test, only about ten exceed this threshold of 22%. Among these operators, only four suppliers consider the consequences of the operation to be unfavorable for their business. Three of these suppliers generate less than 5% of their turnover with Dia, two of them being present outside of France. The fourth supplier, who is currently not in a contractual relationship with Carrefour, does not assert the existence of a threat to the continuity of its activities.  </w:t>
        <w:br/>
        <w:t xml:space="preserve">83. In any case, as specified by the Authority's guidelines on merger control, "economic dependence in itself constitutes a harm to competition only if it has an effect on competition in a market and, ultimately, on consumer surplus, and not simply on a supplier, to the extent that the objective of competition authorities is not to protect a company as such, whether it is a competitor, customer, or supplier."  </w:t>
        <w:br/>
        <w:t xml:space="preserve">84. In this instance, the position of the new entity as a buyer in the upstream markets is only very slightly affected by the operation. It is therefore not likely to harm competition in the upstream supply markets.  </w:t>
        <w:br/>
        <w:t xml:space="preserve">B. ANALYSIS OF THE EFFECTS OF THE OPERATION ON THE DOWNSTREAM MARKETS FOR FOOD RETAIL  </w:t>
        <w:br/>
        <w:t xml:space="preserve">1. NATIONAL MARKET STRUCTURE  </w:t>
        <w:br/>
        <w:t xml:space="preserve">a) Weight of the new entity following the operation  </w:t>
        <w:br/>
        <w:t xml:space="preserve">85. The parties are simultaneously active in food retail through owned stores and franchised stores.  </w:t>
        <w:br/>
        <w:t xml:space="preserve">86. Carrefour is currently the leading French operator in food retail, with a market share in value of [20-30]% at the national level, ahead of Leclerc, with an estimated market share of [10-20]%. Dia is the 10th national brand, with [0-5]% market share in value.  </w:t>
        <w:br/>
        <w:t xml:space="preserve">87. In the hypermarket segment alone, Carrefour represents [20-30]% of market share in value and surface area at the national level. Leclerc is the leader with a market share of [30-40]% in value and [20-30]% in surface area. The operation will have no consequences on this segment as Dia does not operate any stores of this format.  </w:t>
        <w:br/>
        <w:t xml:space="preserve">88. In the supermarket segment alone, Carrefour's market share in value is [10-20]% at the national level, both in surface area and value. The Dia brand represents, for its part, [0-5]% market share in value and [5-10]% in surface area. The operation will therefore confer to the new entity a cumulative market share in value of [10-20]% and a market share in surface area of [20-30]% at the national level. Following the operation, ITM will remain the leader in the supermarket segment with a market share of [20-30]% in value (and in sales surface area).  </w:t>
        <w:br/>
        <w:t xml:space="preserve">89. In the convenience store segment, the market shares in sales surface area of Carrefour and Dia are respectively [20-30]% and [0-5]%. Following the operation, Casino will remain the leader in this segment ([40-50]% market share in sales surface area).  </w:t>
        <w:br/>
        <w:t xml:space="preserve">b) Competitive positioning of the parties relative to each other  </w:t>
        <w:br/>
        <w:t xml:space="preserve">90. The operation will lead to the rapprochement of two competitors whose commercial positioning is different. According to the competitors surveyed, Carrefour would have a more qualitative positioning (more surface area, more choice, and more expensive on average) than that of Dia, which primarily sells low-priced private label products.  </w:t>
        <w:br/>
        <w:t xml:space="preserve">91. For the notifying party, the respective brands of the parties to the operation are therefore only very imperfectly in competition. It notably recalls that Dia has a much more limited product assortment and its stores are generally located in rural areas or on the outskirts of small provincial towns.  </w:t>
        <w:br/>
        <w:t>92. However, the notifying party also explains that the hard discount segment is suffering from a significant decline that has pushed several of its brands (Aldi and Lidl) to evolve towards a classic distribution model (increasing the number of references with more</w:t>
      </w:r>
    </w:p>
    <w:p>
      <w:r>
        <w:rPr>
          <w:b/>
        </w:rPr>
        <w:t>[Pages 16–18]</w:t>
      </w:r>
    </w:p>
    <w:p>
      <w:r>
        <w:t xml:space="preserve">brands; improvement of store presentation). Dia has also increased the number of products under manufacturer brands. These elements tend to show that hard-discount brands are intended to reposition themselves on a generalist model.  </w:t>
        <w:br/>
        <w:t xml:space="preserve">93. Furthermore, an internal document presented to the Carrefour board of directors explains that Dia stores should be transformed into existing Carrefour formats. Carrefour does not wish to operate a brand solely focused on hard discount but rather to develop its multi-format strategy.  </w:t>
        <w:br/>
        <w:t xml:space="preserve">c) The franchisees  </w:t>
        <w:br/>
        <w:t xml:space="preserve">94. The operation of stores belonging to the Carrefour group and the Dia group can take the form of either owned stores or franchised stores, it being specified that in the case of a franchise, the business may be subject to a lease management contract or be directly owned by the franchisee. Furthermore, operators of non-integrated stores under the Proxi brand are linked to Carrefour by a licensing agreement.  </w:t>
        <w:br/>
        <w:t xml:space="preserve">95. The Competition Authority and the Council of State have recalled that the market power of a distribution group must be assessed taking into account both owned stores and those operated in a network, regardless of their legal status, as long as their commercial policy is not sufficiently autonomous from the head of the network.  </w:t>
        <w:br/>
        <w:t xml:space="preserve">96. The Authority has notably considered that the following criteria allowed inferring the lack of autonomy of network members: (i) the possibility for the head of the network to set maximum prices for its members impacting the member's freedom to set its prices independently, (ii) the supply obligations of members to procure a significant portion of their purchases from the group, (iii) the obligation to comply with preemption, substitution, and preference clauses in favor of the group in the event of the sale of their store outside the family perimeter, (iv) the obligation to participate in a certain number of promotional operations per year, during which members must sell products at the prices indicated in advertising documents, (v) the obligation to reference more than 50% of the product lines of the head of the network, and (vi) the relatively long duration of contracts.  </w:t>
        <w:br/>
        <w:t xml:space="preserve">97. In the case at hand, the contracts binding the franchisees are of relatively long durations, […] years for Carrefour and […] years for Dia contracts, with tacit renewals of […] and […] years respectively. In each of the two franchise networks, the franchisor benefits from a right of preference in the event of a sale by the franchisee of shares held in the company operating the business. Carrefour and Dia therefore have, if they decide to exercise their right of preference, a priority to carry out these operations or have them carried out by any physical or legal person they declare to substitute. The two groups also have a right of approval of the candidate for the takeover in cases where they decide not to exercise their right of preference.  </w:t>
        <w:br/>
        <w:t xml:space="preserve">98. The Carrefour and Dia franchise contracts provide for the communication of [confidential] prices for national brands, [confidential]. The franchise contracts relating to the Carrefour City, Carrefour Express, Carrefour Contact, and Carrefour Montagne brands also provide for [confidential].  </w:t>
        <w:br/>
        <w:t xml:space="preserve">99. The franchise contracts of both groups also regulate the assortment policy of the franchisees. [Confidential].  </w:t>
        <w:br/>
        <w:t xml:space="preserve">100. In terms of supply, Carrefour franchisees sign a supply contract with the group's central purchasing organization, whereby they commit to [confidential]. The Dia franchise contract provides for the obligation for the franchisee to procure from the Dia purchasing center [confidential]. This relationship is materialized by a supply contract model.  </w:t>
        <w:br/>
        <w:t xml:space="preserve">101. Finally, Carrefour and Dia franchisees are required to participate in communication operations organized by their respective groups. [Confidential].  </w:t>
        <w:br/>
        <w:t xml:space="preserve">102. It follows from the above that the commercial policy of the franchisees of the parties cannot be considered autonomous from the head of the network. This concerns, regarding the Carrefour group, the brands Carrefour, Carrefour Market, Carrefour City, Carrefour Express, Carrefour Contact, 8 à Huit, Carrefour Montagne, Shopi, Marché Plus, and Champion. The competitive analysis will therefore take into account the franchised stores of the networks of both parties to the operation.  </w:t>
        <w:br/>
        <w:t xml:space="preserve">103. Finally, the notifying party has submitted to the file the models of licensing and supply contracts binding Carrefour to stores under the Proxi brand. These contracts do not provide for the same obligations as those for the franchised stores of the Carrefour group. The licensing contract thus provides for "priority" supply from Carrefour and a right of preference in favor of Carrefour in the event of a sale, which is insufficient to conclude the absence of commercial autonomy of the Proxi brands vis-à-vis the Carrefour group, as these relationships do not involve any pricing framework, nor any obligation to reference, nor any obligation to participate in communication or promotional operations of the Carrefour group.  </w:t>
        <w:br/>
        <w:t xml:space="preserve">104. Consequently, the stores under the Proxi brand (mostly less than 120 m²) have not been included in the market shares of the parties.  </w:t>
        <w:br/>
        <w:t xml:space="preserve">d) Barriers to entry  </w:t>
        <w:br/>
        <w:t xml:space="preserve">105. The guidelines of the Competition Authority regarding the control of concentrations provide that "the market power of a company, even if it has a high market share, can also be effectively limited not only by the reactions of competitors already present in the market but also by the fact that the market is contestable, meaning that it is relatively easy for new players to enter the market in question."  </w:t>
        <w:br/>
        <w:t xml:space="preserve">106. The notifying party believes that the barriers to entry in the food retail market are limited. It argues that the regime regarding the opening of stores of less than 1,000 m² has been relaxed in that it no longer requires prior authorization since Law No. 2008-776 of August 4, 2008, on the modernization of the economy (hereinafter, "LME"). It also recalls that this regime has recently been subject to a new relaxation, with the law of June 18, 2014, relating to crafts, commerce, and very small enterprises now providing that the examination of a project by the Departmental Commission for Commercial Development is done within the framework of the examination of the building permit.  </w:t>
        <w:br/>
        <w:t xml:space="preserve">107. It further notes the development of new forms of commerce, of which drive-through is a part, which could help overcome these barriers. However, it also points out a certain difficulty in Paris and the Paris suburbs (to a lesser extent) in accessing the necessary spaces to create a point of sale.  </w:t>
        <w:br/>
        <w:t xml:space="preserve">108. It should nevertheless be recalled that the objective of evaluating barriers to entry is not to seek whether there are insurmountable barriers preventing Carrefour's competitors from entering the market. It is to understand whether the potential entry of operators absent from the market is possible within a reasonable timeframe and on a sufficient scale to exert real pressure on the entity resulting from the concentration. The Council of State has moreover ruled that the mere fact that a competitor has managed to enter a market is not, by itself, sufficient to demonstrate the absence of barriers to entry in a market.  </w:t>
        <w:br/>
        <w:t xml:space="preserve">109. In its decision regarding the Casino/Monoprix operation, the Competition Authority analyzed the existence of barriers to entry in the food retail market, particularly in Paris. It noted, in addition to the regulation of commercial urban planning, the scarcity of available spaces and the cost of land.  </w:t>
        <w:br/>
        <w:t xml:space="preserve">110. Several respondents to the market test also highlighted the high cost of land compared to the low profitability of brands. Urban planning regulations are also cited as significant obstacles to the opening of stores and the creation of businesses for independents. These constraints are more significant for independent networks than for integrated ones, given the financial capacity of the latter.  </w:t>
        <w:br/>
        <w:t xml:space="preserve">2. MARKET SHARES OF THE PARTIES  </w:t>
        <w:br/>
        <w:t xml:space="preserve">a) Methodological introduction  </w:t>
        <w:br/>
        <w:t xml:space="preserve">i. On the calculation of market shares  </w:t>
        <w:br/>
        <w:t>111. The operation will allow Carrefour to acquire the entire network of Dia points of sale located in France. In each of the examined catchment areas, the parties provided estimates of market share in sales area.</w:t>
      </w:r>
    </w:p>
    <w:p>
      <w:r>
        <w:rPr>
          <w:b/>
        </w:rPr>
        <w:t>[Pages 19–21]</w:t>
      </w:r>
    </w:p>
    <w:p>
      <w:r>
        <w:t xml:space="preserve">112. For the purposes of calculating the market shares of the parties and their competitors, the following methodology was used.  </w:t>
        <w:br/>
        <w:t xml:space="preserve">113. First, the market share attributed to Carrefour in each catchment area includes the floor space of integrated stores as well as franchised stores, with the exception, in accordance with the preceding analysis, of the sales areas of stores under the Proxi brand. Regarding competitors, the analysis only considered the food sales area of Monoprix stores, the most conservative assumption.  </w:t>
        <w:br/>
        <w:t xml:space="preserve">114. Furthermore, as the Authority recalled in the Casino/Monoprix decision, the potential competition from sales outlets that only exist at the project stage on the day of the decision cannot be taken into account in the competitive analysis unless their opening is sufficiently certain and rapid to counteract the potential exercise of market power by the new entity. In the field of food distribution, decision-making practice generally considers that these conditions are met when the relevant projects have received CDAC authorizations and the opening of the stores is to occur within a sufficiently close timeframe. In this case, after verification with the concerned operators, the planned openings within a year, having received the necessary authorizations and cleared of any possibility of appeal, were therefore considered sufficiently certain and close.  </w:t>
        <w:br/>
        <w:t xml:space="preserve">115. Moreover, according to an approach adopted on a case-by-case basis, depending on the characteristics of each local area, the analysis outside of Paris takes into account the competitive pressure exerted by hypermarkets located up to a maximum of five minutes beyond the borders of the catchment areas. However, this consideration was limited to hypermarkets of a different brand than those already present in the catchment area or with a sales area significantly larger than that of the hypermarkets located in the area, to the extent that only such sales outlets are likely to exert a particular attraction on consumers located in the catchment area of the target store.  </w:t>
        <w:br/>
        <w:t xml:space="preserve">116. Furthermore, the analysis takes into account isolated drive-throughs present in the relevant catchment areas. These drive-throughs were counted in the same way as physical sales outlets in a given catchment area, without, however, altering the market shares attributable to the stores of the food distribution groups present. The existence of drive-throughs is therefore considered as a factor that may enhance, if applicable, the diversity of the offer in the relevant catchment areas.  </w:t>
        <w:br/>
        <w:t xml:space="preserve">117. In Paris, the competition exerted by hypermarkets in the nearby suburbs was taken into account. In this regard, the Authority analyzed the competitive pressure exerted by one or more hypermarkets located within approximately a two-kilometer radius of the target Dia stores. The competitive pressure exerted was measured by weighting the area of the concerned hypermarket by the percentage of the turnover generated by that hypermarket in the arrondissement of the concerned Dia store.  </w:t>
        <w:br/>
        <w:t xml:space="preserve">ii. On the identification of the catchment areas in which the operation risks harming competition  </w:t>
        <w:br/>
        <w:t xml:space="preserve">118. Among the 809 catchment areas identified by the notifying party around the Dia stores, the activities of the parties overlap in 632 areas. The catchment areas in which the operation is likely to harm competition were identified according to the following method.  </w:t>
        <w:br/>
        <w:t xml:space="preserve">119. First, the cumulative market share of the parties is below 45% in 513 areas. For 510 of these, the risks of harming competition can be ruled out as the parties will face significant competitive pressure following the operation. In contrast, despite market shares below 45%, the operation risks harming competition in three areas, which are the subject of detailed developments (b).  </w:t>
        <w:br/>
        <w:t xml:space="preserve">120. Second, the cumulative market share of the parties is between 45% and 50% in 20 areas. These areas should be examined in detail to ensure that the concentration will not lead to a significant strengthening of market concentration. The sensitivity threshold has been defined in accordance with decision-making practice, which holds that a horizontal concentration is likely to lead to anti-competitive effects if, in each area, the IHH following the operation is greater than 2,000 and the delta is greater than 250, or if the increase in market share related to the operation is greater than 10%. The risks of harming competition could be ruled out based on these indicators in five of these areas. For the remaining fifteen areas, the risks of harming competition were ruled out only when the structure of the offer was deemed sufficient to maintain significant competitive pressure on the new entity. Competition issues were thus ruled out in ten areas where the new entity will have less than 50% of the sales areas and will face at least three competing groups following the operation, provided that the competing operators hold at least half of the stores in the relevant areas. Following this analysis, the operation remains likely to harm competition in five areas (c).  </w:t>
        <w:br/>
        <w:t xml:space="preserve">121. Third, the operation grants the notifying party cumulative market shares between 50% and 60% of food sales areas in 41 areas. The effects of the operation were examined in detail in these areas. The Authority's guidelines on the control of concentrations indeed specify that "high post-operation market shares, of around 50% or more, may suggest the existence of significant market power." The elements collected during the investigation show that the market shares assessed in terms of sales areas constitute the most appropriate criterion for identifying the areas in which the operation is likely to harm competition. However, competition issues could be ruled out in 35 areas where the new entity will face at least three competitors holding at least half of the sales outlets. The operation is, however, likely to harm competition in six areas (d).  </w:t>
        <w:br/>
        <w:t xml:space="preserve">122. Fourth, finally, the parties represent more than 60% of the sales areas in 58 catchment areas. However, as mentioned above, the detailed examination of the relevant areas, if necessary using the actual footprint of the catchment areas, such as the presence of hypermarkets located near the borders of these areas, allows for the ruling out of the risks of harming competition in sixteen of these areas. The operation is, however, likely to harm competition in 42 areas (e).  </w:t>
        <w:br/>
        <w:t xml:space="preserve">123. Throughout the scope of the operation, the operation thus risks leading to anti-competitive effects in 56 areas.  </w:t>
        <w:br/>
        <w:t xml:space="preserve">b) Areas in which the parties have a market share below 45%  </w:t>
        <w:br/>
        <w:t xml:space="preserve">124. In three catchment areas, the operation risks harming competition, given their particular characteristics, even if the new entity would represent less than 45% of the sales areas.  </w:t>
        <w:br/>
        <w:t xml:space="preserve">125. Two areas are located in Paris. Thus, at 31 rue d’Orsel, within a radius of 300 meters, the parties operate two convenience stores that represent a market share of [30-40]%. They are only confronted with competition from a single brand (Casino) operating a sales outlet of 780 m² and representing [60-70]% market share. However, immediately on the border of this catchment area is a Carrefour Market outlet of 2,030 m², which constitutes the largest area in the sector. Given this configuration, the market share of the parties would rise to [70-80]% after the operation. The concentration is therefore likely to harm competition in this area.  </w:t>
        <w:br/>
        <w:t xml:space="preserve">126. In the 300-meter area around the Dia store located on rue Francoeur in Paris, the parties have a market share of [40-50]% through the operation of two convenience stores. Three competing convenience stores from three different brands are present in the area. Furthermore, a Champion supermarket (Carrefour group) with an area of 1,185 m² is located on the border of this catchment area. Taking this sales outlet into account, the market share of the parties rises to [70-80]%. The operation therefore raises a significant competitive risk in this area.  </w:t>
        <w:br/>
        <w:t>127. The same is true in the catchment area of the Dia store located at 86 rue du Molinel in Lille (59). In a 10-minute walking area around the target convenience store, the parties have a market share of [10-20]% and face seven competing sales outlets from two different brands. However, a Carrefour hypermarket with an area of 11,740 m² is located immediately on the border of this catchment area. The market share of the parties thus rises to [70-80]% in this area. The operation is therefore likely to harm competition there.</w:t>
      </w:r>
    </w:p>
    <w:p>
      <w:r>
        <w:rPr>
          <w:b/>
        </w:rPr>
        <w:t>[Pages 22–24]</w:t>
      </w:r>
    </w:p>
    <w:p>
      <w:r>
        <w:t xml:space="preserve">Nb of stores  </w:t>
        <w:br/>
        <w:t xml:space="preserve">Nb of  </w:t>
        <w:br/>
        <w:t xml:space="preserve">PDM PDM PDM of the parties/  </w:t>
        <w:br/>
        <w:t xml:space="preserve">Address of the target Dia groups  </w:t>
        <w:br/>
        <w:t xml:space="preserve">Carrefour Dia cumulative67 Nb of stores  </w:t>
        <w:br/>
        <w:t xml:space="preserve">competitors  </w:t>
        <w:br/>
        <w:t xml:space="preserve">competitors  </w:t>
        <w:br/>
        <w:t xml:space="preserve">31 rue d’Orsel 75018 Paris [60-70] % [10-20] % [70-80] % 1 3/1  </w:t>
        <w:br/>
        <w:t xml:space="preserve">17-21 rue Francoeur 75018 Paris [60-70] % [10-20] % [70-80] % 3 3/3  </w:t>
        <w:br/>
        <w:t xml:space="preserve">86 rue du Molinel 59800 Lille [70-80] % [0-5] % [70-80] % 2 4/7  </w:t>
        <w:br/>
        <w:t xml:space="preserve">c) Areas where the parties have a market share between 45 and 50 %  </w:t>
        <w:br/>
        <w:t xml:space="preserve">128. Following the operation, the parties would hold a market share between 45 and 50 % in 20 areas. In accordance with the methodological approach outlined above, the examination of the IHH thresholds and the increment of market share resulting from the operation allows for the exclusion of competition concerns in five areas68. In the remaining fifteen areas, the new entity exceeds the defined sensitivity thresholds in terms of concentration indices (IHH) and/or the increment of market share resulting from the operation is greater than 10 %.  </w:t>
        <w:br/>
        <w:t xml:space="preserve">129. In these areas, the analysis therefore focused on the structure of the supply following the operation, particularly examining the number of competitors and the number of their points of sale, as well as the presence of significant competitors at the borders of the relevant catchment areas69. Five areas present competitive risks following this examination, given the market shares of the parties, the low number of local competitors and/or the low number of competing stores. The following table describes the situation observed in these areas:  </w:t>
        <w:br/>
        <w:t xml:space="preserve">Nb of stores  </w:t>
        <w:br/>
        <w:t xml:space="preserve">Nb of  </w:t>
        <w:br/>
        <w:t xml:space="preserve">PDM PDM PDM of the parties/  </w:t>
        <w:br/>
        <w:t xml:space="preserve">Address of the target Dia groups  </w:t>
        <w:br/>
        <w:t xml:space="preserve">Carrefour Dia cumulative70 Nb of stores  </w:t>
        <w:br/>
        <w:t xml:space="preserve">competitors  </w:t>
        <w:br/>
        <w:t xml:space="preserve">competitors  </w:t>
        <w:br/>
        <w:t xml:space="preserve">N39 62170 Attin [40-50] % [5-10] % [40-50] % 3 5/4  </w:t>
        <w:br/>
        <w:t xml:space="preserve">1 route de Putanges 14700 Falaise [30-40] % [10-20] % [40-50] % 2 3/2  </w:t>
        <w:br/>
        <w:t xml:space="preserve">Rue Baudelaire 80400 Ham [30-40] % [10-20] % [40-50] % 2 2/2  </w:t>
        <w:br/>
        <w:t xml:space="preserve">C.C de la Clairette 07140 Les Vans [30-40] % [10-20] % [50-60] % 2 2/2  </w:t>
        <w:br/>
        <w:t xml:space="preserve">281 rue du Fb St-Antoine 75011 Paris [30-40] % [10-20] % [40-50] % 1 3/3  </w:t>
        <w:br/>
        <w:t xml:space="preserve">67 The market shares include the borders of the area and for the Parisian areas, hypermarkets located less than 2 kilometers away.  </w:t>
        <w:br/>
        <w:t xml:space="preserve">68 These are the following areas: avenue de la gare in Biarritz (64), 6 boulevard John Kennedy in Bourg-en-Bresse (01), 133 boulevard Gambetta in Calais (62), 39 avenue du général Leclerc in Maisons-Alfort (94) and 672 rue du pas du loup in Montpellier (34).  </w:t>
        <w:br/>
        <w:t xml:space="preserve">69 The risks of harming competition have been excluded in the presence of at least 3 competitors representing at least half of the points of sale in the catchment area. Furthermore, in the Periers (50) area, the presence of a Leclerc hypermarket of 6,373 m² located near the border of the catchment area of the target point of sale was taken into account (the market share of Carrefour decreasing from [40-50] % to [20-30] %).  </w:t>
        <w:br/>
        <w:t xml:space="preserve">70 The market shares include the borders of the area and for the Parisian areas, hypermarkets located less than two kilometers away.  </w:t>
        <w:br/>
        <w:t>22</w:t>
      </w:r>
    </w:p>
    <w:p>
      <w:r>
        <w:t xml:space="preserve">d) Areas where the parties have a market share between 50 and 60 %  </w:t>
        <w:br/>
        <w:t xml:space="preserve">130. The parties represent between 50 and 60 % of the sales areas in 41 zones. However, competition issues could be excluded in 35 of them considering the number of competitors and their points of sale following the operation as well as the presence of significant competitors at the borders of the relevant catchment areas71.  </w:t>
        <w:br/>
        <w:t xml:space="preserve">131. In contrast, in the remaining six areas, the parties will face too few competitors to exclude any risk of harming competition. These areas are as follows:  </w:t>
        <w:br/>
        <w:t xml:space="preserve">Nb of stores  </w:t>
        <w:br/>
        <w:t xml:space="preserve">Nb of  </w:t>
        <w:br/>
        <w:t xml:space="preserve">PDM PDM PDM of the parties/  </w:t>
        <w:br/>
        <w:t xml:space="preserve">Address of the target Dia groups  </w:t>
        <w:br/>
        <w:t xml:space="preserve">Carrefour Dia cumulative Nb of stores  </w:t>
        <w:br/>
        <w:t xml:space="preserve">competitors  </w:t>
        <w:br/>
        <w:t xml:space="preserve">competitors  </w:t>
        <w:br/>
        <w:t xml:space="preserve">Rue de Cartignies 59440 Avesne s/Helpe [40-50] % [10-20] % [50-60] % 2 4/3  </w:t>
        <w:br/>
        <w:t xml:space="preserve">Av Aristide Briand 53500 Ernée [50-60] % [5-10] % [50-60] % 2 3/2  </w:t>
        <w:br/>
        <w:t xml:space="preserve">Rue de Beauvais 60210 Halloy [30-40] % [10-20] % [50-60] % 2 2/2  </w:t>
        <w:br/>
        <w:t xml:space="preserve">38 bd Rouget de l’Isle 93100 Montreuil [40-50] % [5-10] % [50-60] % 2 3/4  </w:t>
        <w:br/>
        <w:t xml:space="preserve">30 av François Mitterrand 11500 Quillan [40-50] % [10-20] % [50-60] % 1 2/1  </w:t>
        <w:br/>
        <w:t xml:space="preserve">44 rue de Dunkerque 75009 Paris [40-50] % [10-20] % [50-60] % 2 2/4  </w:t>
        <w:br/>
        <w:t xml:space="preserve">e) Areas where the parties have a market share greater than 60 %  </w:t>
        <w:br/>
        <w:t xml:space="preserve">132. The parties would hold a market share greater than 60 % in 58 areas following the concentration.  </w:t>
        <w:br/>
        <w:t xml:space="preserve">133. In fifteen areas, the presence of hypermarkets located near the borders of the catchment areas of the target stores can be taken into account, given the characteristics of the supply and the competitive pressure they are likely to exert on the parties following the operation. Consequently, the risks of harming competition can be excluded in the areas of the target stores located in Malesherbes (45), Brie-Comte-Robert (77), Oraison (04), Roquebrune-sur-Argens (83), Champigny-sur-Marne (94), Voiron (38), la Courneuve (93), Dammarie-les-Lys (77), Draguignan (83), Epinay-sur-Orge (91), Evry boulevard Decauville (91), Houplines (59), Mezy-sur-Seine (78), Parmain (95) and Poissy (78).  </w:t>
        <w:br/>
        <w:t xml:space="preserve">134. Among the other affected stores, the operation leads to different results for two points of sale located in the greater Paris area depending on whether its effects are examined in an area corresponding to a 10 or 15-minute drive. For each of these stores, located respectively in Corbeil-Essonnes (91) and Chars (95), the notifying party has produced a document tracing the actual footprint of the location of its turnover, corresponding to the location of its clientele72.  </w:t>
        <w:br/>
        <w:t xml:space="preserve">71 The methodology used is that outlined above. The area around the Dia store located in Guillestre (05) presents a specificity in that the risk of harming competition can be lifted by taking into account a Leclerc hypermarket of 3,084 m² located immediately at the border of the target point of sale while no hypermarket is present in this area defined by a 15-minute radius. By taking into account this hypermarket located at the border of the area, the market share of the parties decreases from [50-60] % to [30-40] %.  </w:t>
        <w:br/>
        <w:t xml:space="preserve">72 This information is drawn from data from customers holding loyalty cards. Given the relatively limited rate of customers holding Dia loyalty cards (i.e., [20-30] % and [60-70] % for the two affected areas), this data should be used with caution. However, it remains relevant in this case as it allows for the observation, supported by other elements of the file, of the actual presence or absence of customers in the considered areas.  </w:t>
        <w:br/>
        <w:t>23</w:t>
      </w:r>
    </w:p>
    <w:p>
      <w:r>
        <w:t xml:space="preserve">135. In Corbeil-Essonnes, the market share of the new entity is [60-70] % in an area corresponding to a 10-minute drive. The examination of the actual footprint suggests that the catchment area of the target store should be restricted to the city of Corbeil-Essonnes alone (nearly [90-100] % of Dia loyalty cardholders being located there). The analysis of the actual footprint removes any doubt about the existence of a competitive risk in the area of Corbeil-Essonnes.  </w:t>
        <w:br/>
        <w:t xml:space="preserve">136. In contrast, the information derived from the actual footprint of the clientele of the target store located in Chars leads to the opposite conclusion. Indeed, while the parties only represent [20-30] % of the sales areas in an area corresponding to a 15-minute drive around the target store, they are in a monopoly position in an area corresponding to a 10-minute drive. However, the actual footprint of the clientele in the area confirms that a small catchment area, corresponding to a 10-minute drive, should be retained. The operation, which will lead to the disappearance of Carrefour's only competitor in this area, therefore poses a serious risk of harming competition in Chars.  </w:t>
        <w:br/>
        <w:t xml:space="preserve">137. Finally, the parties also argue that any risk of harming competition should be excluded in catchment areas where the same operator operates, prior to the operation, stores under the Carrefour and Dia franchises. This is the case in three catchment areas (Créon (33), Morzine (74) and Sainte-Maxime (83)) where the target points of sale are operated by an operator who also operates a Carrefour franchise store in the same area. According to the notifying party, such operators would already be able to coordinate the pricing policy of their points of sale operated under the Carrefour and Dia brands. The notifying party argues that the operation would therefore have no impact on the structure and functioning of competition. It further claims that the potential termination of franchise contracts concluded with either brand and their replacement by a competing brand would not significantly alter the incentives of the franchisees to act differently.  </w:t>
        <w:br/>
        <w:t xml:space="preserve">138. However, the arguments of the notifying party are lacking both in fact and in law. Indeed, the franchise contracts of Carrefour and Dia have been examined and do not grant franchisees sufficient commercial autonomy to consider them independent from the network heads. This means that the commercial framework imposed by the network head deprives franchisees of sufficient leeway to adapt the positioning of the stores they operate to a common commercial policy. This observation is all the more compelling in this case as the Dia brand is positioned in the hard-discount segment, unlike the brands of the Carrefour group. Far from supporting Carrefour's argument, this reinforces the observation that the same operator is able to operate in the same catchment area stores under franchise from different network heads implementing different commercial policies, maintaining a competitive relationship between these different stores.  </w:t>
        <w:br/>
        <w:t xml:space="preserve">139. It follows that the operation poses a risk of harming competition in the following 42 areas:  </w:t>
        <w:br/>
        <w:t>24</w:t>
      </w:r>
    </w:p>
    <w:p>
      <w:r>
        <w:rPr>
          <w:b/>
        </w:rPr>
        <w:t>[Pages 25–27]</w:t>
      </w:r>
    </w:p>
    <w:p>
      <w:r>
        <w:t xml:space="preserve">Nb of stores  </w:t>
        <w:br/>
        <w:t xml:space="preserve">Nb of  </w:t>
        <w:br/>
        <w:t xml:space="preserve">PDM PDM PDM of the parties/  </w:t>
        <w:br/>
        <w:t xml:space="preserve">Address of the target Dia groups  </w:t>
        <w:br/>
        <w:t xml:space="preserve">Carrefour Dia cumulative Nb of stores  </w:t>
        <w:br/>
        <w:t xml:space="preserve">competitors  </w:t>
        <w:br/>
        <w:t xml:space="preserve">competitors  </w:t>
        <w:br/>
        <w:t xml:space="preserve">RN 504 01300 Belley [50-60] % [5-10] % [60-70] % 4 4/4  </w:t>
        <w:br/>
        <w:t xml:space="preserve">33 bis av du Mail0 1000 Bourg-en-Bresse [90-100] % [10-20] % [90-100] % 0 2/0  </w:t>
        <w:br/>
        <w:t xml:space="preserve">Centre commercial 06033 Carros [60-70] % [0-5] % [60-70] % 5 2/6  </w:t>
        <w:br/>
        <w:t xml:space="preserve">ZA des 9 Arpents 95750 Chars [70-80] % [30-40] % [90-100] % 0 2/0  </w:t>
        <w:br/>
        <w:t xml:space="preserve">350 av de Lattre de Tassigny [60-70] % [5-10] % [70-80] % 2 3/2  </w:t>
        <w:br/>
        <w:t xml:space="preserve">01200 Châtillon-en-Michaille  </w:t>
        <w:br/>
        <w:t xml:space="preserve">1 rue de l’Alma 92400 Courbevoie [50-60] % [10-20] % [60-70] % 2 4/2  </w:t>
        <w:br/>
        <w:t xml:space="preserve">1 av Marceau 92400 Courbevoie [60-70] % [10-20] % [70-80] % 1 4/2  </w:t>
        <w:br/>
        <w:t xml:space="preserve">18 av du colonel Noël 04000 Digne-les-Bains [60-70] % [5-10] % [60-70] % 2 3/3  </w:t>
        <w:br/>
        <w:t xml:space="preserve">140 rue Henri Barbusse 93700 Drancy [60-70] % [5-10] % [70-80] % 1 3/2  </w:t>
        <w:br/>
        <w:t xml:space="preserve">Rue François Denoeu 62145 Estrée-Blanche [60-70] % [10-20] % [70-80] % 2 5/2  </w:t>
        <w:br/>
        <w:t xml:space="preserve">24 cours Blaise Pascal 91000 Evry [90-100] % [0-5]% [90-100] % 0 2/0  </w:t>
        <w:br/>
        <w:t xml:space="preserve">4 rue du Fort du Rietz 62310 Fruges [70-80] % [10-20] % [80-90] % 1 4/1  </w:t>
        <w:br/>
        <w:t xml:space="preserve">ZA de l’Aiglette01170 Gex [60-70] % [5-10] % [70-80] % 2 5/4  </w:t>
        <w:br/>
        <w:t xml:space="preserve">Av de Montferrand 01150 Lagnieu [50-60] % [5-10] % [60-70] % 4 5/5  </w:t>
        <w:br/>
        <w:t xml:space="preserve">81 av de Vierzon 41600 Lamotte-Beuvron [50-60] %73 [10-20] % [60-70] % 1 2/1  </w:t>
        <w:br/>
        <w:t xml:space="preserve">2 rue du Plan d’Ergue [30-40] % [20-30] % [60-70] % 1 2/1  </w:t>
        <w:br/>
        <w:t xml:space="preserve">05120 L’Argentière-la-Bessée  </w:t>
        <w:br/>
        <w:t xml:space="preserve">51 rue Daniel Casanova [70-80] % [0-5]% [70-80] % 3 4/12  </w:t>
        <w:br/>
        <w:t xml:space="preserve">93150 Le Blanc-Mesnil  </w:t>
        <w:br/>
        <w:t xml:space="preserve">CC Arcades 91338 Limours [60-70] % [0-5]% [60-70] % 5 5/7  </w:t>
        <w:br/>
        <w:t xml:space="preserve">Chemin de la Voilerie [50-60] % [5-10] % [60-70] % 6 9/17  </w:t>
        <w:br/>
        <w:t xml:space="preserve">13170 les Pennes-Mirabeau  </w:t>
        <w:br/>
        <w:t xml:space="preserve">39 bd Eugène Deruelle 69003 Lyon [70-80] % [0-5]% [70-80] % 2 2/4  </w:t>
        <w:br/>
        <w:t xml:space="preserve">58 av des Frères Lumière 69008 Lyon [60-70] % [10-20] % [70-80] % 1 3/2  </w:t>
        <w:br/>
        <w:t xml:space="preserve">148 chemin de Madrague Ville [50-60] % [10-20] % [60-70] % 6 11/24  </w:t>
        <w:br/>
        <w:t xml:space="preserve">13015 Marseille  </w:t>
        <w:br/>
        <w:t xml:space="preserve">26 chemin du Moulinet 13015 Marseille [70-80] % [10-20] % [80-90] % 5 4/8  </w:t>
        <w:br/>
        <w:t xml:space="preserve">4 bis promenade Louis Cabanette [40-50] % [20-30] % [60-70] % 1 2/1  </w:t>
        <w:br/>
        <w:t xml:space="preserve">48100 Marvejols  </w:t>
        <w:br/>
        <w:t xml:space="preserve">37-45 rue Barbès 92120 Montrouge [70-80] % [10-20] % [80-90] % 1 2/1  </w:t>
        <w:br/>
        <w:t xml:space="preserve">58 av de la République 92120 Montrouge [50-60] % [10-20] % [60-70] % 2 2/2  </w:t>
        <w:br/>
        <w:t xml:space="preserve">Route de Lisieux 14290 Orbec [50-60] % [20-30] % [80-90] % 1 2/1  </w:t>
        <w:br/>
        <w:t xml:space="preserve">38 av de Verdun 34120 Pezenas [60-70] % [5-10] % [70-80] % 2 2/2  </w:t>
        <w:br/>
        <w:t>73 Includes the upcoming extension of the Carrefour Market in Lamotte-Beuvron (without affecting the conclusions of the competitive analysis).</w:t>
      </w:r>
    </w:p>
    <w:p>
      <w:r>
        <w:t xml:space="preserve">Nb of stores  </w:t>
        <w:br/>
        <w:t xml:space="preserve">Nb of  </w:t>
        <w:br/>
        <w:t xml:space="preserve">PDM PDM PDM of the parties/  </w:t>
        <w:br/>
        <w:t xml:space="preserve">Address of the target Dia groups  </w:t>
        <w:br/>
        <w:t xml:space="preserve">Carrefour Dia cumulative Nb of stores  </w:t>
        <w:br/>
        <w:t xml:space="preserve">competitors  </w:t>
        <w:br/>
        <w:t xml:space="preserve">competitors  </w:t>
        <w:br/>
        <w:t xml:space="preserve">Le Bourg 33670 Créon [60-70] %74 [5-10] % [60-70] % 2 5/2  </w:t>
        <w:br/>
        <w:t xml:space="preserve">535 route de la Plagne 74110 Morzine [80-90] % [10-20] % [90-100] % 0 4/0  </w:t>
        <w:br/>
        <w:t xml:space="preserve">Route du Plan de la Tour [80-90] % [10-20] % [90-100] %75 1 3/1  </w:t>
        <w:br/>
        <w:t xml:space="preserve">83120 Sainte-Maxime  </w:t>
        <w:br/>
        <w:t xml:space="preserve">9 bis av Nelson Mandela [80-90] % [10-20] % [90-100] % 0 2/0  </w:t>
        <w:br/>
        <w:t xml:space="preserve">93290 Tremblay-en-France  </w:t>
        <w:br/>
        <w:t xml:space="preserve">RD 981 30334 Uzès [50-60] % [5-10] % [60-70] % 2 3/2  </w:t>
        <w:br/>
        <w:t xml:space="preserve">47 rue de France 94300 Vincennes [60-70] % [10-20] % [70-80] % 1 2/1  </w:t>
        <w:br/>
        <w:t xml:space="preserve">135 rue de Sèvres 75006 Paris [50-60] % [20-30] % [80-90] % 1 2/1  </w:t>
        <w:br/>
        <w:t xml:space="preserve">30 av du général Michel Bizot 75012 Paris [80-90] % [5-10] % [90-100] % 1 4/1  </w:t>
        <w:br/>
        <w:t xml:space="preserve">30 rue Pierre Nicole 75005 Paris [20-30] % [40-50] % [60-70] % 1 3/1  </w:t>
        <w:br/>
        <w:t xml:space="preserve">4 rue Dejean 75018 Paris [40-50] % [20-30] % [60-70] % 1 3/4  </w:t>
        <w:br/>
        <w:t xml:space="preserve">4 bis bd de Clichy 75018 Paris [70-80] % [10-20] % [80-90] % 1 4/1  </w:t>
        <w:br/>
        <w:t xml:space="preserve">58 av de Versailles 75016 Paris [70-80] % [5-10] % [80-90] % 1 3/2  </w:t>
        <w:br/>
        <w:t xml:space="preserve">217 av de Versailles 75016 Paris [60-70] % [0-10] % [70-80] % 3 3/3  </w:t>
        <w:br/>
        <w:t>53-55 bd Barbès 75018 Paris [50-60] % [10-20] % [60-70] % 2 5/5</w:t>
      </w:r>
    </w:p>
    <w:p>
      <w:r>
        <w:t xml:space="preserve">C. GENERAL CONCLUSION ON THE EFFECTS OF THE OPERATION  </w:t>
        <w:br/>
        <w:t xml:space="preserve">140. The operation poses significant risks of reducing competition to the detriment of consumers in the catchment areas where the alternative supply will be insufficient following the concentration.  </w:t>
        <w:br/>
        <w:t xml:space="preserve">141. The risks of harming competition can be ruled out in 576 catchment areas, either because the new entity has market shares below 45%, or because it holds market shares below 60% and will still face a sufficiently significant number of competing groups that, through their local sales outlets, will be able to exert significant competitive pressure on the new entity.  </w:t>
        <w:br/>
        <w:t xml:space="preserve">142. On the other hand, the operation harms competition in 56 catchment areas due to the strong positions held in the food distribution market by the Carrefour group following the operation. It is therefore necessary to provide appropriate remedies to the anti-competitive effects of the operation.  </w:t>
        <w:br/>
        <w:t xml:space="preserve">74 Includes the upcoming extension of the Carrefour Market in Créon (without affecting the conclusions of the competitive analysis).  </w:t>
        <w:br/>
        <w:t>75 Including the Casino hypermarket in Gassin on the edge of the area does not change the conclusions of the competitive analysis.</w:t>
      </w:r>
    </w:p>
    <w:p>
      <w:r>
        <w:t xml:space="preserve">IV. The Commitments  </w:t>
        <w:br/>
        <w:t xml:space="preserve">A. THE PROPOSED COMMITMENTS  </w:t>
        <w:br/>
        <w:t xml:space="preserve">143. The notifying party presented commitments on November 3, 2014, aimed at remedying the anti-competitive effects of the operation on the downstream markets of retail distribution predominantly focused on food. These commitments were subject to a market test with competitors. The commitments were discussed and modified. They were formulated definitively on November 14, 2014. It is in this version that they are presented below. The text of these commitments, attached as an annex, is an integral part of this decision.  </w:t>
        <w:br/>
        <w:t xml:space="preserve">144. The proposed commitments concern 56 points of sale for which Carrefour commits to:  </w:t>
        <w:br/>
        <w:t xml:space="preserve">- transfer ownership of integrated stores to a competing operator in food distribution within a period of […] months from the completion of the concentration when it concerns integrated stores or stores operated under lease management. If the transfer cannot occur within this timeframe, it would then be entrusted to a representative. The divestiture commitments concern 50 stores;  </w:t>
        <w:br/>
        <w:t xml:space="preserve">- terminate franchise agreements within a period of […] months from the completion of the concentration when it concerns franchised stores. The commitments for early termination concern 6 stores operated by franchised merchants.  </w:t>
        <w:br/>
        <w:t>145. These commitments are made for a duration of 10 years, during which Carrefour will not be able to reacquire the divested stores, nor acquire direct or indirect influence over them.</w:t>
      </w:r>
    </w:p>
    <w:p>
      <w:r>
        <w:t xml:space="preserve">B. ASSESSMENT OF THE PROPOSED MEASURES  </w:t>
        <w:br/>
        <w:t xml:space="preserve">1. ON THE OBJECTIVE OF THE REMEDIES  </w:t>
        <w:br/>
        <w:t xml:space="preserve">146. Regarding a horizontal concentration, the Authority primarily seeks structural corrective measures, which aim to ensure competitive market structures through divestitures to an appropriate acquirer capable of exerting real competition, or the elimination of capital links between competitors76. Furthermore, the Authority ensures that the remedies are proportionate. Consequently, the adopted measures must effectively remedy the identified harms to competition, imposing on the companies a burden strictly necessary to maintain or restore sufficient competition.  </w:t>
        <w:br/>
        <w:t xml:space="preserve">147. In this sense, the commitments proposed by the notifying party allow for the elimination of the competitive issues arising from the operation in the following manner: either the divested points of sale, or those transferred to another franchisor, eliminate the addition of market share resulting from the operation, or they allow for a significant reduction in the market share of the new entity, to a level below 50% in the affected areas. Moreover, in the majority of areas, the commitment concerns the target point of sale and thus leads to the disappearance of the overlap of activities between the parties resulting from the operation.  </w:t>
        <w:br/>
        <w:t>76 Guidelines of the Competition Authority regarding the control of concentrations, cited above, §575.</w:t>
      </w:r>
    </w:p>
    <w:p>
      <w:r>
        <w:rPr>
          <w:b/>
        </w:rPr>
        <w:t>[Pages 28–30]</w:t>
      </w:r>
    </w:p>
    <w:p>
      <w:r>
        <w:t xml:space="preserve">148. Finally, the effectiveness of the remedies depends on the divestiture of the concerned assets to one or more appropriate acquirers. The same applies to franchised points of sale for which the notifying party proposes to terminate the franchise agreements. To restore sufficient competitive conditions, the acquirer(s) must be capable of effectively competing with Carrefour in the relevant markets. This implies that they must have all the guarantees of independence, both legal and commercial, from Carrefour. Potential acquirers must therefore be independent players in the food retail sector, independent of the Carrefour group, across the entire value chain, from supply to retail sale, capable of ensuring the sustainable operation of the divested assets.  </w:t>
        <w:br/>
        <w:t xml:space="preserve">2. ON THE ADEQUACY OF THE PROPOSED MEASURES  </w:t>
        <w:br/>
        <w:t xml:space="preserve">149. The commitments proposed by the notifying party consist of the divestiture of stores or the termination of franchise agreements in each of the 56 catchment areas where the effects of the operation harm competition. The points of sale concerned by the commitments are as follows:  </w:t>
        <w:br/>
        <w:t xml:space="preserve">Code Divestiture/  </w:t>
        <w:br/>
        <w:t xml:space="preserve">Brand Address City Postal Area Termination  </w:t>
        <w:br/>
        <w:t xml:space="preserve">[…] […] […] […] […] […]  </w:t>
        <w:br/>
        <w:t xml:space="preserve">[…] […] […] […] […] […]  </w:t>
        <w:br/>
        <w:t xml:space="preserve">[…] […] […] […] […] […]  </w:t>
        <w:br/>
        <w:t xml:space="preserve">[…] […] […] […] […] […]  </w:t>
        <w:br/>
        <w:t xml:space="preserve">[…] […] […] […] […] […]  </w:t>
        <w:br/>
        <w:t xml:space="preserve">[…] […] […] […] […] […]  </w:t>
        <w:br/>
        <w:t xml:space="preserve">[…] […] […] […] […] […]  </w:t>
        <w:br/>
        <w:t xml:space="preserve">[…] […] […] […] […] […]  </w:t>
        <w:br/>
        <w:t xml:space="preserve">[…] […] […] […] […] […]  </w:t>
        <w:br/>
        <w:t xml:space="preserve">[…] […] […] […] […] […]  </w:t>
        <w:br/>
        <w:t xml:space="preserve">[…] […] […] […] […] […]  </w:t>
        <w:br/>
        <w:t xml:space="preserve">[…] […] […] […] […] […]  </w:t>
        <w:br/>
        <w:t xml:space="preserve">[…] […] […] […] […] […]  </w:t>
        <w:br/>
        <w:t xml:space="preserve">[…] […] […] […] […] […]  </w:t>
        <w:br/>
        <w:t xml:space="preserve">[…] […] […] […] […] […]  </w:t>
        <w:br/>
        <w:t xml:space="preserve">[…] […] […] […] […] […]  </w:t>
        <w:br/>
        <w:t xml:space="preserve">150. These commitments consist of both the divestiture and the termination of franchise agreements when the concerned points of sale are operated by franchised merchants. In principle, such commitments are adequate in that they release the concerned points of sale from any ties to the Carrefour group by allowing competing brands to take over the franchise. These terminations must, in any case, occur within a sufficiently rapid timeframe, identical to that of the divestitures, to restore sufficient competition in the relevant markets. This is the case here, with Carrefour committing to terminate the concerned contracts within a period of […] months.  </w:t>
        <w:br/>
        <w:t xml:space="preserve">151. However, the results of the market test conducted on the parties' proposed commitments show that, while competitors express interest in taking over certain points of sale, they also note that a majority of the stores involve low sales areas, which they believe are unlikely to stimulate competition.  </w:t>
        <w:br/>
        <w:t xml:space="preserve">152. The operation, however, consists of the acquisition of Dia points of sale, which have relatively small areas in many catchment areas. [Confidential]. It is therefore not justified to impose on the notifying party the divestiture of larger stores unless it is established that the operation results in an anti-competitive effect that warrants the divestiture of larger stores.  </w:t>
        <w:br/>
        <w:t xml:space="preserve">153. For the rest, some respondents to the market test fear that the rents of the stores proposed for divestiture by Carrefour may be high in relation to their own profitability criteria.  </w:t>
        <w:br/>
        <w:t xml:space="preserve">154. [Confidential].  </w:t>
        <w:br/>
        <w:t xml:space="preserve">Divestiture/  </w:t>
        <w:br/>
        <w:t xml:space="preserve">Zone around the target Dia Address Area Termination  </w:t>
        <w:br/>
        <w:t xml:space="preserve">[…] […] […] […] […]  </w:t>
        <w:br/>
        <w:t xml:space="preserve">[…] […] […] […] […]  </w:t>
        <w:br/>
        <w:t xml:space="preserve">[…] […] […] […] […]  </w:t>
        <w:br/>
        <w:t xml:space="preserve">[…] […] […] […] […]  </w:t>
        <w:br/>
        <w:t xml:space="preserve">[…] […] […] […]  </w:t>
        <w:br/>
        <w:t xml:space="preserve">[…] […] […] […] […]  </w:t>
        <w:br/>
        <w:t xml:space="preserve">[…] […] […] […] […]  </w:t>
        <w:br/>
        <w:t xml:space="preserve">[…] […] […] […] […]  </w:t>
        <w:br/>
        <w:t xml:space="preserve">[…] […] […] […] […]  </w:t>
        <w:br/>
        <w:t xml:space="preserve">[…] […] […] […] […]  </w:t>
        <w:br/>
        <w:t xml:space="preserve">[…] […] […] […] […]  </w:t>
        <w:br/>
        <w:t xml:space="preserve">[…] […] […] […] […]  </w:t>
        <w:br/>
        <w:t xml:space="preserve">[…] […] […] […] […]  </w:t>
        <w:br/>
        <w:t xml:space="preserve">[…] […] […] […] […]  </w:t>
        <w:br/>
        <w:t xml:space="preserve">[…] […] […] […] […]  </w:t>
        <w:br/>
        <w:t xml:space="preserve">[…] […] […] […] […]  </w:t>
        <w:br/>
        <w:t xml:space="preserve">[…] […] […] […] […]  </w:t>
        <w:br/>
        <w:t xml:space="preserve">[…] […] […] […] […]  </w:t>
        <w:br/>
        <w:t xml:space="preserve">[…] […] […] […] […]  </w:t>
        <w:br/>
        <w:t xml:space="preserve">[…] […] […] […] […]  </w:t>
        <w:br/>
        <w:t xml:space="preserve">[…] […] […] […] […]  </w:t>
        <w:br/>
        <w:t>In certain areas, [confidential].</w:t>
      </w:r>
    </w:p>
    <w:p>
      <w:r>
        <w:rPr>
          <w:b/>
        </w:rPr>
        <w:t>[Pages 31–32]</w:t>
      </w:r>
    </w:p>
    <w:p>
      <w:r>
        <w:t xml:space="preserve">77 In certain areas, [confidential].  </w:t>
        <w:br/>
        <w:t>30</w:t>
      </w:r>
    </w:p>
    <w:p>
      <w:r>
        <w:t xml:space="preserve">Transfer/  </w:t>
        <w:br/>
        <w:t xml:space="preserve">Zone around the target Dia Address Area  </w:t>
        <w:br/>
        <w:t xml:space="preserve">termination  </w:t>
        <w:br/>
        <w:t xml:space="preserve">[…] […] […] […] […]  </w:t>
        <w:br/>
        <w:t xml:space="preserve">[…] […] […] […] […]  </w:t>
        <w:br/>
        <w:t xml:space="preserve">[…] […] […] […] […]  </w:t>
        <w:br/>
        <w:t xml:space="preserve">[…] […] […] […] […]  </w:t>
        <w:br/>
        <w:t xml:space="preserve">[…] […] […] […] […]  </w:t>
        <w:br/>
        <w:t xml:space="preserve">[…] […] […] […] […]  </w:t>
        <w:br/>
        <w:t xml:space="preserve">[…] […] […] […] […]  </w:t>
        <w:br/>
        <w:t xml:space="preserve">[…] […] […] […] […]  </w:t>
        <w:br/>
        <w:t xml:space="preserve">[…] […] […] […] […]  </w:t>
        <w:br/>
        <w:t xml:space="preserve">[…] […] […] […] […]  </w:t>
        <w:br/>
        <w:t xml:space="preserve">[…] […] […] […] […]  </w:t>
        <w:br/>
        <w:t xml:space="preserve">[…] […] […] […] […]  </w:t>
        <w:br/>
        <w:t xml:space="preserve">[…] […] […] […] […]  </w:t>
        <w:br/>
        <w:t xml:space="preserve">[…] […] […] […] […]  </w:t>
        <w:br/>
        <w:t xml:space="preserve">[…] […] […] […] […]  </w:t>
        <w:br/>
        <w:t xml:space="preserve">[…] […] […] […] […]  </w:t>
        <w:br/>
        <w:t xml:space="preserve">[…] […] […] […] […]  </w:t>
        <w:br/>
        <w:t xml:space="preserve">[…] […] […] […] […]  </w:t>
        <w:br/>
        <w:t xml:space="preserve">[…] […] […] […] […]  </w:t>
        <w:br/>
        <w:t>31</w:t>
      </w:r>
    </w:p>
    <w:p>
      <w:r>
        <w:t xml:space="preserve">Transfer/  </w:t>
        <w:br/>
        <w:t xml:space="preserve">Zone around the target Dia Address Area  </w:t>
        <w:br/>
        <w:t xml:space="preserve">termination  </w:t>
        <w:br/>
        <w:t xml:space="preserve">[…] […] […] […] […]  </w:t>
        <w:br/>
        <w:t xml:space="preserve">[…] […] […] […] […]  </w:t>
        <w:br/>
        <w:t xml:space="preserve">[…] […] […] […] […]  </w:t>
        <w:br/>
        <w:t xml:space="preserve">155. Finally, in six areas78, [confidential].  </w:t>
        <w:br/>
        <w:t xml:space="preserve">156. In the absence of elements that would cast doubt on the [confidential] nature of the sales outlets covered by Carrefour's commitments in the relevant areas, and their minority proportion in the overall commitments made, [confidential].  </w:t>
        <w:br/>
        <w:t xml:space="preserve">DECIDES  </w:t>
        <w:br/>
        <w:t xml:space="preserve">Sole Article: The operation notified under number 14-125 is authorized subject to the commitments described above and attached to this decision.  </w:t>
        <w:br/>
        <w:t xml:space="preserve">The President,  </w:t>
        <w:br/>
        <w:t xml:space="preserve">Bruno Lasserre  </w:t>
        <w:br/>
        <w:t xml:space="preserve">© Competition Authority  </w:t>
        <w:br/>
        <w:t xml:space="preserve">78 These are the areas around the following Dia stores: [confidential].  </w:t>
        <w:br/>
        <w:t>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