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https://www.autoritedelaconcurrence.fr/fr/decision-de-controle-des-concentrations/relative-la-prise-de-controle-exclusif-de-la-societe-diam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12-DCC-96 of July 20, 2012  </w:t>
        <w:br/>
        <w:t xml:space="preserve">regarding the exclusive control acquisition of the company Diam International  </w:t>
        <w:br/>
        <w:t xml:space="preserve">by the company LBO France Gestion  </w:t>
        <w:br/>
        <w:t xml:space="preserve">The Competition Authority,  </w:t>
        <w:br/>
        <w:t xml:space="preserve">Having regard to the complete notification file submitted to the mergers department on June 15, 2012,  </w:t>
        <w:br/>
        <w:t xml:space="preserve">concerning the acquisition of the company Diam International by the company LBO France Gestion,  </w:t>
        <w:br/>
        <w:t xml:space="preserve">formalized by a memorandum of understanding dated June 14,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Diam International  </w:t>
        <w:br/>
        <w:t xml:space="preserve">and its subsidiaries, active in the sector of production and distribution of point-of-sale advertising products, by the company LBO France Gestion, a portfolio management company. It constitutes a concentration operation within the meaning of Article L. 430-1 of the Commercial Code. Given the turnover achieved by the concerned companies, the operation does not have a community dimension. On the other hand, the control thresholds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12-102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