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https://www.autoritedelaconcurrence.fr/fr/decision-de-controle-des-concentrations/relative-la-prise-de-controle-exclusif-de-la-societe-dimeco</w:t>
      </w:r>
    </w:p>
    <w:p>
      <w:r>
        <w:t>Pages translated : 11</w:t>
      </w:r>
    </w:p>
    <w:p/>
    <w:p>
      <w:r>
        <w:rPr>
          <w:b/>
        </w:rPr>
        <w:t>[Pages 1–3]</w:t>
      </w:r>
    </w:p>
    <w:p>
      <w:r>
        <w:t xml:space="preserve">FRENCH REPUBLIC  </w:t>
        <w:br/>
        <w:t xml:space="preserve">Decision No. 18-DCC-79 of May 23, 2018  </w:t>
        <w:br/>
        <w:t xml:space="preserve">regarding the exclusive control of the company Dimeco by the  </w:t>
        <w:br/>
        <w:t xml:space="preserve">company Cafom  </w:t>
        <w:br/>
        <w:t xml:space="preserve">The Competition Authority,  </w:t>
        <w:br/>
        <w:t xml:space="preserve">Having regard to the notification file submitted in full to the merger service on April 19, 2018,  </w:t>
        <w:br/>
        <w:t xml:space="preserve">regarding the exclusive control of the company Dimeco by the company Cafom, formalized by  </w:t>
        <w:br/>
        <w:t xml:space="preserve">a memorandum of understanding dated March 12, 2018;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Cafom is a public limited company, not controlled within the meaning of merger control, at the head  </w:t>
        <w:br/>
        <w:t xml:space="preserve">of the Cafom group, active in the retail sale of furniture, decoration, and household appliances in  </w:t>
        <w:br/>
        <w:t xml:space="preserve">France. The Cafom group is present in Guadeloupe through its subsidiaries, La Compagnie  </w:t>
        <w:br/>
        <w:t xml:space="preserve">Guadeloupéenne de Distribution (hereinafter "LGD"), Gourbeyre Distribution (hereinafter "GDI") and  </w:t>
        <w:br/>
        <w:t xml:space="preserve">Guadeloupe Mobilier (hereinafter "GM"). The companies LGD and GDI each operate a store under the  </w:t>
        <w:br/>
        <w:t xml:space="preserve">But brand, while the company GM operates a sales outlet under the Darty brand. The companies GM  </w:t>
        <w:br/>
        <w:t xml:space="preserve">and LGD also hold two commercial operating licenses allowing them to open two stores in June 2019.  </w:t>
        <w:br/>
        <w:t xml:space="preserve">2. Dimeco is a limited liability company, exclusively controlled by Mr. Sylvain Saada, directly and  </w:t>
        <w:br/>
        <w:t xml:space="preserve">indirectly through the company Guadinvest SARL. It is active in the retail sale of household appliances  </w:t>
        <w:br/>
        <w:t xml:space="preserve">in Guadeloupe through two stores. The company Dimeco also holds a commercial operating license  </w:t>
        <w:br/>
        <w:t xml:space="preserve">allowing it to open a store during the first quarter of 2019.  </w:t>
        <w:br/>
        <w:t xml:space="preserve">3. The operation, formalized by a memorandum of understanding signed on March 12, 2018, provides for the transfer of  </w:t>
        <w:br/>
        <w:t xml:space="preserve">51% of the capital and voting rights of the company Dimeco to the company Cafom and the remaining 49%  </w:t>
        <w:br/>
        <w:t xml:space="preserve">to Messrs. Franck and Steeve Saada.  </w:t>
        <w:br/>
        <w:t xml:space="preserve">4. As it results in the exclusive control of the company Dimeco by the company Cafom, the notified transaction constitutes a concentration operation within the meaning of Article  </w:t>
        <w:br/>
        <w:t xml:space="preserve">L. 430-1 of the Commercial Code.  </w:t>
        <w:br/>
        <w:t xml:space="preserve">5. The companies concerned together achieve a total worldwide turnover excluding taxes of more than 75 million euros (Cafom: [&gt;75] million euros for the fiscal year ending September 30, 2017; Dimeco: [&lt;50] million euros for the fiscal year ending December 31, 2016). Each of these companies has achieved in Guadeloupe a turnover exceeding  </w:t>
        <w:br/>
        <w:t xml:space="preserve">5 million euros (Cafom: [&gt;5] million euros for the fiscal year ending September 30, 2017;  </w:t>
        <w:br/>
        <w:t xml:space="preserve">Dimeco: [&gt;5] million euros for the fiscal year ending December 31, 2016). Given these  </w:t>
        <w:br/>
        <w:t xml:space="preserve">turnover figures,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The parties are simultaneously active in the markets for the supply of household appliances as buyers (A) and in the retail sale of household appliances as sellers (B). The Cafom group is also active in the markets for the sale of furniture (C) and bazaar and decoration products (D), which are related to the market for the retail sale of household appliances.  </w:t>
        <w:br/>
        <w:t xml:space="preserve">A. THE UPSTREAM MARKETS FOR THE SUPPLY OF HOUSEHOLD APPLIANCES  </w:t>
        <w:br/>
        <w:t xml:space="preserve">1. THE PRODUCT MARKETS  </w:t>
        <w:br/>
        <w:t xml:space="preserve">7. Regarding the upstream supply markets, competition authorities have noted that "producers manufacture specific products or groups of products and are not technically able to easily convert to the manufacture of other products without significant costs." Furthermore, "at the supply level, it can be considered that there are as many markets as there are families of products subject to negotiation, each distributor putting various suppliers in competition in each of the markets."  </w:t>
        <w:br/>
        <w:t xml:space="preserve">8. Specifically concerning the supply of household appliances, competition authorities, based on the organization of the "purchasing" divisions of distributors, have thus resorted to a segmentation according to the following product groups:  </w:t>
        <w:br/>
        <w:t xml:space="preserve">(i) large household appliances; (ii) small household appliances; (iii) cameras / cinema; (iv) hi-fi / sound equipment; (v) TV / video equipment; (vi) computers / peripherals; and (vii) telephony.  </w:t>
        <w:br/>
        <w:t xml:space="preserve">9. The Authority has also questioned the relevance of retaining a distinct market for video game products (including consoles, accessories, and video games).  </w:t>
        <w:br/>
        <w:t xml:space="preserve">10. In this case, the parties are simultaneously active, as buyers, in all identified purchasing families, with the exception of video game products.  </w:t>
        <w:br/>
        <w:t xml:space="preserve">2. THE GEOGRAPHICAL MARKETS  </w:t>
        <w:br/>
        <w:t xml:space="preserve">11. Competition authorities consider that the supply markets for retail trade are at least national in scope, if not European.  </w:t>
        <w:br/>
        <w:t xml:space="preserve">12. In this case, the question of the geographical delimitation of the markets for the supply of household appliances can remain open, as the conclusions of the competitive analysis remain unchanged regardless of the hypothesis retained.  </w:t>
        <w:br/>
        <w:t xml:space="preserve">B. THE MARKETS FOR THE RETAIL SALE OF HOUSEHOLD APPLIANCES  </w:t>
        <w:br/>
        <w:t xml:space="preserve">1. THE PRODUCT MARKETS  </w:t>
        <w:br/>
        <w:t xml:space="preserve">13. The decision-making practice of competition authorities has considered a segmentation of the downstream markets for the retail sale of household appliances according to two criteria: the product family and the distribution channel.  </w:t>
        <w:br/>
        <w:t xml:space="preserve">a) The distinction by product family  </w:t>
        <w:br/>
        <w:t xml:space="preserve">14. Competition authorities traditionally distinguish, within the category of household appliances, which includes both electrical and electronic products, three product families:  </w:t>
        <w:br/>
        <w:t xml:space="preserve">- white goods: cooktops, stoves, ovens, built-in sets, hoods, washing machines, dryers, dishwashers, refrigerators, freezers, small kitchen appliances, coffee makers, food processors, irons, and vacuum cleaners;  </w:t>
        <w:br/>
        <w:t xml:space="preserve">- brown goods: televisions, camcorders, hi-fi and audio equipment, digital devices, and DVD players;  </w:t>
        <w:br/>
        <w:t>- grey goods: personal computers, monitors, peripherals (printers or scanners), keyboards, modular accessories or spare parts (memory cards or additional hard drives), software, and telephony.</w:t>
      </w:r>
    </w:p>
    <w:p>
      <w:r>
        <w:rPr>
          <w:b/>
        </w:rPr>
        <w:t>[Pages 4–6]</w:t>
      </w:r>
    </w:p>
    <w:p>
      <w:r>
        <w:t>15. Regarding the retail sale of white goods, the Authority has left open the question of a sub-segmentation between small and large household appliances. In the specific case of overseas departments and regions, it has also considered the existence of a specific sub-segment for air conditioning units, due to the significant demand for this type of product related to the climatic conditions of these territories and their availability in a greater number of sales outlets than in mainland France.</w:t>
      </w:r>
    </w:p>
    <w:p>
      <w:r>
        <w:t>16. The notifying party argues that this sub-segmentation of white goods is not relevant, as distributors offer all types of white goods.</w:t>
      </w:r>
    </w:p>
    <w:p>
      <w:r>
        <w:t>17. However, the market test conducted for the purposes of this investigation does not confirm this position: it appears that some distributors in Guadeloupe do not offer all types of white goods. Furthermore, the share of floor space dedicated to each type of product varies significantly from one actor to another, with some offering a substantial range of small appliances but a marginal offering of large appliances, and vice versa. For example, non-specialized brands generally allocate a larger share of their space to small appliances, while specialized stores have a more substantial offering of large appliances. Thus, since the composition of the white goods offering can vary by point of sale, the competitive pressure exerted by each store may differ depending on the segmentation adopted. It therefore does not seem appropriate to exclude such segmentation based solely on the elements presented by the notifying party.</w:t>
      </w:r>
    </w:p>
    <w:p>
      <w:r>
        <w:t>18. In any case, the question of the sub-segmentation of white goods can be left open, as the conclusions of the competitive analysis remain unchanged regardless of the hypothesis adopted.</w:t>
      </w:r>
    </w:p>
    <w:p>
      <w:r>
        <w:t>b) The distinction by distribution channel</w:t>
      </w:r>
    </w:p>
    <w:p>
      <w:r>
        <w:t>Physical stores</w:t>
      </w:r>
    </w:p>
    <w:p>
      <w:r>
        <w:t>19. Competition authorities traditionally use three criteria to delineate markets in the retail sector: the type of products sold, the format, and the size of the stores. Only stores that consistently offer a wide assortment of products throughout the year exert real competitive pressure on each other.</w:t>
      </w:r>
    </w:p>
    <w:p>
      <w:r>
        <w:t>20. Thus, according to the decision-making practice of the Authority, a large specialized store (hereinafter, "GSS") in household appliances competes with other GSS (Boulanger, Fnac/Darty), large multi-specialist stores (Conforama, But), which offer, in addition to household appliances, furniture and decoration products, groups of independent operators (Euronics/Gitem, Connexion, Digital or Expert), proximity stores larger than 300 m², large food stores (hereinafter, "GSA"), and hard-discount stores specialized in the retail of household appliances (Electro Dépôt).</w:t>
      </w:r>
    </w:p>
    <w:p>
      <w:r>
        <w:t>21. Specifically regarding the retail sale of air conditioning units in overseas departments, the decision-making practice has considered that large DIY stores (hereinafter "GSB") are also in competition with GSS.</w:t>
      </w:r>
    </w:p>
    <w:p>
      <w:r>
        <w:t>22. The notifying party considers that all physical stores identified by the decision-making practice (GSS, GSA larger than 2,500 m², groups of independents, proximity stores larger than 300 m², and GSB for the retail market of air conditioning units) should be included in the analysis, as well as, in its view, stores smaller than 300 m². In this case, the inclusion of these small formats does not change the conclusions of the competitive analysis; they will therefore be excluded.</w:t>
      </w:r>
    </w:p>
    <w:p>
      <w:r>
        <w:t>23. Furthermore, according to the notifying party, GSB and decoration-bazaar stores, such as Gifi, should also be taken into account in the competitive analysis for all markets of white goods retail.</w:t>
      </w:r>
    </w:p>
    <w:p>
      <w:r>
        <w:t>24. Regarding GSB, the notifying party indicates that there is a specificity in Guadeloupe, with GSB distributing significantly more white goods than in mainland France. Respondents to the market test confirmed that in Guadeloupe, GSB compete with specialized brands for air conditioning units and small appliances. One of the GSB surveyed stated that "DIY stores in Guadeloupe are historically the stores that have developed sales of small appliances." Thus, due to the specificities of the Guadeloupean market and in accordance with the approach adopted for the air conditioning segment, GSB could be included in the small appliance segment. In this case, the inclusion of GSB does not change the conclusions of the competitive analysis; they will therefore be excluded.</w:t>
      </w:r>
    </w:p>
    <w:p>
      <w:r>
        <w:t>25. Regarding bazaar stores, these points of sale are absent from the price surveys provided by the notifying party. The photographs submitted in the file highlight a very limited offering in small appliances, which is confirmed by several respondents to the market test. Consequently, bazaar stores are not taken into account in the market definition.</w:t>
      </w:r>
    </w:p>
    <w:p>
      <w:r>
        <w:t>Online sales</w:t>
      </w:r>
    </w:p>
    <w:p>
      <w:r>
        <w:t>26. In its decision of July 18, 2016, regarding the acquisition of Darty by Fnac, the Authority defined, for the first time, a market for the retail sale of brown and gray electronic products that includes both in-store sales and distance sales. It noted that the development of online sales has been accompanied by a significant reduction in the previously noted differences between online sales and in-store sales, and that traditional brands have adapted their internal pricing and commercial strategies by developing their own online sales sites. It also emphasized that consumers have integrated online sales into their purchasing behavior for the products concerned, both in terms of comparing offers upstream and for the act of purchase itself.</w:t>
      </w:r>
    </w:p>
    <w:p>
      <w:r>
        <w:t>27. The notifying party indicates that not only do online sales exert competitive pressure on household appliance stores in Guadeloupe, but they should also be taken into account in the market definition, similar to the analysis conducted by the Authority in mainland France. However, the elements provided by the notifying party do not highlight a significant influence of online sales on the commercial strategy of the parties. For example, it appears that the notifying party does not take into account the prices practiced online to determine the prices of products sold in its stores in Guadeloupe.</w:t>
      </w:r>
    </w:p>
    <w:p>
      <w:r>
        <w:t>28. Furthermore, it appears that the geographical situation of Guadeloupe complicates the development of online sales due to the high transportation costs and customs taxation (octroi de mer and regional octroi de mer). For example, Amazon France only offers part of its catalog for delivery to Guadeloupe and applies an additional charge per item or per kilo depending on the chosen delivery formula and the type of products.</w:t>
      </w:r>
    </w:p>
    <w:p>
      <w:r>
        <w:t>29. Consequently, the development of online sales of household appliances in Guadeloupe appears, to date, limited, especially since several major operators active in mainland France are absent there. For example, while in 2015, Cdiscount entered the Guadeloupean market through an agreement with a hypermarket that acted as a collection point, this offer has since been discontinued.</w:t>
      </w:r>
    </w:p>
    <w:p>
      <w:r>
        <w:t>30. The notifying party further indicates that it is neither able to quantify the online sales of household appliances in Guadeloupe nor to identify the main actors, with the exception of the website tropicmarket.com, launched in February 2018. Almost all competitors surveyed who operate stores in Guadeloupe indicated that they do not sell online, even if some have "showcase" websites.</w:t>
      </w:r>
    </w:p>
    <w:p>
      <w:r>
        <w:t>31. Given all these elements, online sales of household appliances are not taken into account in the market definition. Since they constitute a distinct market on which the activities of the parties do not overlap, they will not be analyzed in the context of this investigation.</w:t>
      </w:r>
    </w:p>
    <w:p>
      <w:r>
        <w:t>2. THE GEOGRAPHICAL MARKETS</w:t>
      </w:r>
    </w:p>
    <w:p>
      <w:r>
        <w:t>32. In the retail sector of physical stores, competition occurs, from the consumer's perspective, primarily at the local level, in markets whose size varies depending on the type of products concerned and the attractiveness of the stores.</w:t>
      </w:r>
    </w:p>
    <w:p>
      <w:r>
        <w:t>33. Regarding the retail sale of household appliances, competition authorities have estimated that consumers are willing to make a car trip lasting 20 to 45 minutes to visit a store and compare products and prices from one brand to another. This duration, however, varies depending on the size of the store and other characteristics specific to each area, such as geography, population density, or other nearby stores. In its aforementioned decision of July 18, 2016, the Authority retained catchment areas with a radius of 30 minutes for areas located in the provinces, excluding large cities.</w:t>
      </w:r>
    </w:p>
    <w:p>
      <w:r>
        <w:t>34. In this case, all respondents to the market test confirmed that in Guadeloupe, customers are willing to make car trips of 30 minutes to visit household appliance stores. Some respondents, however, considered that a 45-minute trip was too long.</w:t>
      </w:r>
    </w:p>
    <w:p>
      <w:r>
        <w:t>35. Therefore, the competitive analysis will be conducted at the local level, in the catchment areas of the two Dimeco stores, defined by a radius of approximately 30 minutes of driving time.</w:t>
      </w:r>
    </w:p>
    <w:p>
      <w:r>
        <w:rPr>
          <w:b/>
        </w:rPr>
        <w:t>[Pages 7–9]</w:t>
      </w:r>
    </w:p>
    <w:p>
      <w:r>
        <w:t xml:space="preserve">C. THE MARKET FOR THE RETAIL SALE OF FURNITURE AND DECORATIVE AND MISCELLANEOUS PRODUCTS  </w:t>
        <w:br/>
        <w:t xml:space="preserve">1. THE MARKETS FOR PRODUCTS  </w:t>
        <w:br/>
        <w:t xml:space="preserve">36. The decision-making practice of competition authorities has distinguished, within household equipment products, white goods, furniture products, and decorative and miscellaneous products.  </w:t>
        <w:br/>
        <w:t xml:space="preserve">37. The Authority has segmented the retail market for furniture products by distribution channel and according to the range of products, taking into account the differences in price and service offered, while leaving the question open.  </w:t>
        <w:br/>
        <w:t xml:space="preserve">38. The retail market for decorative and miscellaneous products has been segmented according to the range of products: the Authority has notably examined a retail market for low and medium-priced decorative and miscellaneous products.  </w:t>
        <w:br/>
        <w:t xml:space="preserve">39. In this case, the exact definition of these markets can be left open as the conclusions of the competitive analysis remain unchanged, regardless of the segmentation considered.  </w:t>
        <w:br/>
        <w:t xml:space="preserve">2. THE GEOGRAPHICAL MARKETS  </w:t>
        <w:br/>
        <w:t xml:space="preserve">40. Competition authorities have estimated that consumers are willing to travel for a duration of 20 to 45 minutes by car to visit a store and compare products and prices from one brand to another for furniture and decorative and miscellaneous products.  </w:t>
        <w:br/>
        <w:t xml:space="preserve">41. In this case, the exact delimitation of these markets can be left open as the conclusions of the competitive analysis remain unchanged regardless of the catchment area considered.  </w:t>
        <w:br/>
        <w:t xml:space="preserve">III. Competitive Analysis  </w:t>
        <w:br/>
        <w:t xml:space="preserve">42. The parties being simultaneously active in the retail markets for household appliances, the transaction is likely to entail a risk of horizontal effects (A). The Cafom group being also active in the retail markets for furniture and decorative and miscellaneous products, it is also necessary to study the risk of conglomerate effects (B).  </w:t>
        <w:br/>
        <w:t xml:space="preserve">A. ANALYSIS OF HORIZONTAL EFFECTS  </w:t>
        <w:br/>
        <w:t xml:space="preserve">1. THE UPSTREAM MARKETS FOR SUPPLYING HOUSEHOLD APPLIANCES  </w:t>
        <w:br/>
        <w:t xml:space="preserve">43. In the national markets for supplying household appliances, the cumulative purchasing share of the new entity will systematically be below [0-5]%, regardless of the product family considered.  </w:t>
        <w:br/>
        <w:t xml:space="preserve">44. Given this very limited market share, the transaction is not likely to harm competition in the upstream markets for supplying household appliances in France.  </w:t>
        <w:br/>
        <w:t xml:space="preserve">2. THE DOWNSTREAM MARKETS FOR THE RETAIL SALE OF HOUSEHOLD APPLIANCES  </w:t>
        <w:br/>
        <w:t xml:space="preserve">45. At the national level, the new entity will be present in the markets for the sale of household appliances through 20 stores located exclusively overseas: 15 stores owned by the acquirer and two stores owned by the target, in addition to three stores for which commercial operating licenses ("AEC") have been obtained and which will open no later than June 2019.  </w:t>
        <w:br/>
        <w:t xml:space="preserve">46. At the local level, Dimeco operates two stores located in Baie Mahault (Connexion and Circuit Ménager) and holds an AEC for a store in Dothemare. The notifying party indicated that after the transaction, the Connexion store would operate under the Darty brand. For its part, the Cafom group has three sales outlets (under the But and Darty brands in Baie-Mahault, and under the But brand in Gourbeyre) and two AECs in the Dothemare area, one for the opening of a Darty sales outlet and the other for the opening of a But sales outlet.  </w:t>
        <w:br/>
        <w:t xml:space="preserve">47. The Circuit Ménager store, having a sales area of less than 300 m², does not exert competitive pressure on the sales outlets of the notifying party, according to decision-making practice. In any case, all identified competitors in the catchment area of the Connexion store are also present in that of the Circuit Ménager store, which also includes an additional competitor.  </w:t>
        <w:br/>
        <w:t xml:space="preserve">48. In the catchment area of the Connexion store, the new entity will have a cumulative market share of [10-20]% in the market for brown goods, [50-60]% in the market for grey goods, and [50-60]% in the market for white goods. These market shares take into account the AECs held by the parties. Regarding the sub-segmentation considered for white goods, the market share of the new entity will reach [50-60]% for small appliances, [50-60]% for large appliances, and [40-50]% for air conditioning units.  </w:t>
        <w:br/>
        <w:t xml:space="preserve">49. The market shares of the new entity are therefore above 50% in the retail markets for grey and white goods.  </w:t>
        <w:br/>
        <w:t xml:space="preserve">50. However, the notifying party has informed the Authority that it will waive the benefit of the AEC held by Dimeco for the opening of a store in Dothemare and that it will close the Darty sales outlet in Baie Mahault operated by Cafom upon the opening of the new Darty sales outlet in Dothemare.  </w:t>
        <w:br/>
        <w:t xml:space="preserve">51. Consequently, the Authority takes note of these statements submitted in the notification file and considers that it must take into account, in estimating the position of the new entity, the closure of the Darty in Baie Mahault and the waiver of the benefit of the AEC held by Dimeco.  </w:t>
        <w:br/>
        <w:t xml:space="preserve">52. Thus, the estimated market shares of the new entity in the catchment area of the Connexion store in Baie-Mahault will be as follows.  </w:t>
        <w:br/>
        <w:t xml:space="preserve">New  </w:t>
        <w:br/>
        <w:t xml:space="preserve">Dimeco Cafom Main competitors  </w:t>
        <w:br/>
        <w:t xml:space="preserve">entity  </w:t>
        <w:br/>
        <w:t xml:space="preserve">Digital ([30-40]%)  </w:t>
        <w:br/>
        <w:t xml:space="preserve">Brown goods [10-20]% [20-30]% [30-40]% Carrefour ([10-20]%)  </w:t>
        <w:br/>
        <w:t xml:space="preserve">Euronics Gitem ([5-10]%)  </w:t>
        <w:br/>
        <w:t xml:space="preserve">PC Leader ([20-30]%)  </w:t>
        <w:br/>
        <w:t xml:space="preserve">Digilife ([10-20]%)  </w:t>
        <w:br/>
        <w:t xml:space="preserve">Grey goods [5-10]% [0-5]% [5-10]% Euronics Gitem ([10-20]%)  </w:t>
        <w:br/>
        <w:t xml:space="preserve">Carrefour ([10-20]%)  </w:t>
        <w:br/>
        <w:t xml:space="preserve">Digital ([10-20]%)  </w:t>
        <w:br/>
        <w:t xml:space="preserve">Digital ([10-20]%)  </w:t>
        <w:br/>
        <w:t xml:space="preserve">Carrefour ([10-20]%)  </w:t>
        <w:br/>
        <w:t xml:space="preserve">White goods [5-10]% [20-30]% [30-40]%  </w:t>
        <w:br/>
        <w:t xml:space="preserve">Euronics Gitem ([10-20]%)  </w:t>
        <w:br/>
        <w:t xml:space="preserve">Prixe ([5-10]%)  </w:t>
        <w:br/>
        <w:t xml:space="preserve">Carrefour ([20-30]%)  </w:t>
        <w:br/>
        <w:t xml:space="preserve">Of which small  </w:t>
        <w:br/>
        <w:t xml:space="preserve">[5-10]% [30-40]% [30-40]% Digital ([10-20]%)  </w:t>
        <w:br/>
        <w:t xml:space="preserve">appliances  </w:t>
        <w:br/>
        <w:t xml:space="preserve">Géant ([10-20]%)  </w:t>
        <w:br/>
        <w:t xml:space="preserve">Digital ([20-30]%)  </w:t>
        <w:br/>
        <w:t xml:space="preserve">Of which large  </w:t>
        <w:br/>
        <w:t xml:space="preserve">[10-20]% [20-30]% [30-40]% Euronics Gitem ([10-20]%)  </w:t>
        <w:br/>
        <w:t xml:space="preserve">appliances  </w:t>
        <w:br/>
        <w:t xml:space="preserve">Prixe ([10-20]%)  </w:t>
        <w:br/>
        <w:t xml:space="preserve">Mr. Bricolage ([10-20]%)  </w:t>
        <w:br/>
        <w:t xml:space="preserve">Général Bricolage ([10-20]%)  </w:t>
        <w:br/>
        <w:t xml:space="preserve">Of which air La Palette – Weldom ([10-  </w:t>
        <w:br/>
        <w:t xml:space="preserve">[0-5]% [10-20]% [10-20]%  </w:t>
        <w:br/>
        <w:t xml:space="preserve">conditioning 20]%)  </w:t>
        <w:br/>
        <w:t xml:space="preserve">Digital ([5-10]%)  </w:t>
        <w:br/>
        <w:t xml:space="preserve">Carrefour ([5-10]%)  </w:t>
        <w:br/>
        <w:t xml:space="preserve">Euronics Gitem ([5-10]%)  </w:t>
        <w:br/>
        <w:t xml:space="preserve">53. In its decision-making practice regarding household appliances, the Authority has considered that a transaction is not likely to harm competition in areas where the new entity holds a cumulative market share, defined by surface area, of less than 40% and is competing with a sufficient number of brands, some of which have significant market shares (greater than [10-20]%).  </w:t>
        <w:br/>
        <w:t xml:space="preserve">54. In this case, the market share of the new entity will be below 40%, regardless of the segmentation considered.  </w:t>
        <w:br/>
        <w:t xml:space="preserve">55. Furthermore, the new entity will face competition from at least five brands with one or more stores in the area affected by the transaction: Euronics Gitem, Digital, and Carrefour each have two stores there.  </w:t>
        <w:br/>
        <w:t xml:space="preserve">56. Finally, the new entity will face Digital in the local retail markets (i) for brown goods ([30-40]%), (ii) for white goods ([10-20]%), and (iii) for large appliances.  </w:t>
        <w:br/>
        <w:t xml:space="preserve">18 If these statements prove to be inaccurate, the Authority could exercise the powers provided for in Article L. 430-8 of the Commercial Code, which provides for the possibility of monetary sanctions and the withdrawal of the authorization decision for the transaction.  </w:t>
        <w:br/>
        <w:t>19 See the Authority's decision No. 11-DCC-87 of June 10, 2011, regarding the exclusive control of Media Concorde SNC by High Tech Multicanal Group.</w:t>
      </w:r>
    </w:p>
    <w:p>
      <w:r>
        <w:rPr>
          <w:b/>
        </w:rPr>
        <w:t>[Pages 10–11]</w:t>
      </w:r>
    </w:p>
    <w:p>
      <w:r>
        <w:t>household appliances ([20-30] %). In the local market for the retail sale of grey goods, it will face PC Leader ([20-30] %), while in the retail market for small household appliances, it will compete with Carrefour ([20-30] %).</w:t>
      </w:r>
    </w:p>
    <w:p>
      <w:r>
        <w:t>57. In the local market for the retail sale of air conditioning units, the new entity will have a market share of [10-20] % with an increment of one point. However, as indicated by the Authority's guidelines on the control of concentrations, “[i]n cases where one of the parties to the transaction holds extremely low market shares (less than 2 %), the transaction, a priori, does not harm competition, unless these shares reinforce an already very strong position.” Furthermore, in this market, it will face two DIY brands each representing at least [10-20] % of the market.</w:t>
      </w:r>
    </w:p>
    <w:p>
      <w:r>
        <w:t>58. Consequently, the transaction is not likely to harm competition in the local markets for the retail sale of household appliances through horizontal effects.</w:t>
      </w:r>
    </w:p>
    <w:p>
      <w:r>
        <w:t>B. ANALYSIS OF CONGLOMERATE EFFECTS</w:t>
      </w:r>
    </w:p>
    <w:p>
      <w:r>
        <w:t>59. A concentration has conglomerate effects when the new entity extends or strengthens its presence in several markets whose connectivity may allow it to increase its market power. The decision-making practice of competition authorities generally considers that a risk of conglomerate effect can be ruled out as long as the market share of the entity resulting from the transaction in the relevant markets does not exceed 30 %.</w:t>
      </w:r>
    </w:p>
    <w:p>
      <w:r>
        <w:t>60. In this case, the new entity will indeed hold a market share greater than 30 % in the retail markets for brown and white goods, which have connectivity links with those of the retail sale of furniture and bazaar decoration products. However, the market share of the new entity will remain below 40 % regardless of the segmentation considered. The Authority has already considered that it is unlikely for a concentration to pose a risk of conglomerate effect if the new entity does not have a strong position, at least above 40 %, in the market from which it can leverage an effect. Furthermore, the new entity will face at least one significant competitor also offering household appliances, furniture products, and bazaar decoration products (Digital). The new entity will also not be able to benefit from a range effect with its suppliers as furniture, decoration, and bazaar products are not produced by manufacturers of household appliances.</w:t>
      </w:r>
    </w:p>
    <w:p>
      <w:r>
        <w:t>61. Consequently, the transaction is not likely to harm competition in these markets through conglomerate effects.</w:t>
      </w:r>
    </w:p>
    <w:p>
      <w:r>
        <w:t>DECIDES</w:t>
      </w:r>
    </w:p>
    <w:p>
      <w:r>
        <w:t>Sole Article: The transaction notified under number 18-057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