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https://www.autoritedelaconcurrence.fr/fr/decision-de-controle-des-concentrations/relative-la-prise-de-controle-exclusif-de-la-societe-dispeo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17-DCC-232 of December 27, 2017  </w:t>
        <w:br/>
        <w:t xml:space="preserve">regarding the exclusive control acquisition of the company Dispeo by  </w:t>
        <w:br/>
        <w:t xml:space="preserve">the company Hopps Group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December 1, 2017, concerning the exclusive control acquisition of the company Dispeo by the company  </w:t>
        <w:br/>
        <w:t xml:space="preserve">Hopps Group, formalized by a share purchase offer dated October 11,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acquisition by the company Hopps Group of exclusive control  </w:t>
        <w:br/>
        <w:t xml:space="preserve">of the company Dispeo. It constitutes a concentration within the meaning of Article L. 430-1 of the Commercial Code. Given the turnover achieved by the concerned companies,  </w:t>
        <w:br/>
        <w:t xml:space="preserve">the operation does not fall under the jurisdiction of the European Union. On the other hand, the thresholds of  </w:t>
        <w:br/>
        <w:t xml:space="preserve">control mentioned in I of Article L. 430-2 of the Commercial Code are exceeded. This operation is therefore  </w:t>
        <w:br/>
        <w:t xml:space="preserve">subject to the provisions of Articles L. 430-3 and following of the Commercial Code relating to economic concentration.  </w:t>
        <w:br/>
        <w:t xml:space="preserve">2. The markets concerned by the operation are the markets for logistics services, transport brokerage, and parcel messaging, which are consistently defined by the decision-making practice of the Competition Authority.  </w:t>
        <w:br/>
        <w:t xml:space="preserve">3. Regardless of the segmentations retained, the combined market shares of the parties are  </w:t>
        <w:br/>
        <w:t xml:space="preserve">below 10%.  </w:t>
        <w:br/>
        <w:t xml:space="preserve">4. Considering the elements of the file, and in particular in view of point 384 of the guidelines  </w:t>
        <w:br/>
        <w:t xml:space="preserve">of the Competition Authority relating to the control of concentrations, the operation is not  </w:t>
        <w:br/>
        <w:t>likely to harm competition.</w:t>
      </w:r>
    </w:p>
    <w:p>
      <w:r>
        <w:t xml:space="preserve">DECIDES  </w:t>
        <w:br/>
        <w:t xml:space="preserve">Sole Article: The operation notified under number 17-256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