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https://www.autoritedelaconcurrence.fr/fr/decision-de-controle-des-concentrations/relative-la-prise-de-controle-exclusif-de-la-societe-distri</w:t>
      </w:r>
    </w:p>
    <w:p>
      <w:r>
        <w:t>Pages translated : 8</w:t>
      </w:r>
    </w:p>
    <w:p/>
    <w:p>
      <w:r>
        <w:rPr>
          <w:b/>
        </w:rPr>
        <w:t>[Pages 1–3]</w:t>
      </w:r>
    </w:p>
    <w:p>
      <w:r>
        <w:t xml:space="preserve">FRENCH REPUBLIC  </w:t>
        <w:br/>
        <w:t xml:space="preserve">Decision No. 11-DCC-05 of January 17, 2011  </w:t>
        <w:br/>
        <w:t xml:space="preserve">regarding the exclusive control of the company Distri Sud-Ouest  </w:t>
        <w:br/>
        <w:t>by the company Retail Leader Price Investissement</w:t>
      </w:r>
    </w:p>
    <w:p>
      <w:r>
        <w:t xml:space="preserve">The Competition Authority,  </w:t>
        <w:br/>
        <w:t xml:space="preserve">Having regard to the notification file sent to the merger service on December 13, 2010, and declared complete on December 14, regarding the acquisition of shares of the company Distri Sud-Ouest by the company Retail Leader Price Investissement, formalized by a unilateral promise of sale dated September 30, 2009, the option of which was exercised by a letter dated October 7, 2010;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company Retail Leader Price Investissement (hereinafter "RLPI"), a subsidiary of the Casino Guichard Perrachon group, has as its main object the acquisition of stakes in companies operating stores under the brand Leader Price. The Casino group, the third largest player in the French food distribution sector, manages a network of over 10,000 stores (hypermarkets, supermarkets, convenience stores, discount stores, etc.) under the brands Casino, Franprix, Spar, Vival, Naturalia, and Leader Price. Casino also exercises joint control with the Galeries Lafayette group over the Monoprix group. Furthermore, it is present in the online distribution sector of non-food products under the brand Cdiscount. The Casino group belongs to the Euris group, which is itself controlled by Mr. Jean-Charles Naouri.  </w:t>
        <w:br/>
        <w:t xml:space="preserve">2. The company Distri Sud-Ouest (hereinafter "DSO") is owned at [&gt;50]% by the company HDR (itself owned at more than [&gt;50]% by Mr. X and at less than [&lt;10]% by RLPI) and at [&lt;50]% by RLPI. DSO operates a network of 62 food-dominated sales outlets under the brand Leader Price in the Southwest of France. Pursuant to the articles of association and the shareholders' agreement of DSO, its supervisory board is composed of three members, two of whom are appointed by HDR and the third by RLPI. DSO's decisions are adopted by a simple majority, except for certain decisions adopted unanimously, notably those related to the execution of investments, the acquisition or disposal of securities or assets valued at more than 8 million euros. Furthermore, it is stipulated that the president and the general managers will inform RLPI in advance and in writing of a large number of decisions, notably those concerning (i) the opening or closing of stores, (ii) the adoption of the budget, the business plan, or their modification, (iii) the execution of investments, the acquisition or disposal of securities or assets for an amount of 150,000 euros per operation, (iv) loans, overdrafts, the establishment of guarantees, sureties, or pledges as soon as these exceed an amount of 1,500,000 euros per operation, (v) the settlement of any dispute or legal proceeding with an amount exceeding 100,000 euros. Finally, RLPI and its representatives and advisors have the right to conduct an audit of the accounts twice per fiscal year. To this end, the shareholders' agreement stipulates that "RLPI and its representatives and advisors will have access to the members of staff, to all documents and archives of the Company [DSO] and its subsidiaries, and to their statutory auditors, in order to carry out the checks that RLPI deems necessary." Moreover, it is specified that the shares of DSO held by HDR and the shares of HDR held by Mr. X are non-transferable until July 31, 2011, until which date RLPI will be able to acquire HDR's stakes in DSO under purchase and sale promises between RLPI and HDR. Indeed, it follows from the shareholders' agreement that RLPI commits to buy (between January 1 and January 25, 2011) and HDR to sell (between January 26 and June 30, 2011) the shares of DSO owned by HDR, if the other party decides to exercise the option it holds.  </w:t>
        <w:br/>
        <w:t xml:space="preserve">3. It follows from the above that RLPI's veto right on investments exceeding 8 million euros, RLPI's prior information right for a large number of strategic decisions for DSO, as well as RLPI's extended audit right over DSO's management, combined with RLPI's participation of [&lt;50]% in DSO and the purchase and sale promises concluded between RLPI and HDR, obliging each of these companies to buy or sell HDR's stakes in DSO if either party decides to exercise the option, confer joint control over DSO to HDR and RLPI.  </w:t>
        <w:br/>
        <w:t xml:space="preserve">4. The notified operation follows the letter sent to RLPI on October 7, 2010, by HDR, informing it of its decision to exercise the sale option resulting from the promise granted to it by RLPI on September 30, 2009. Following the operation, RLPI will therefore hold all of the capital and voting rights of DSO and will exercise exclusive control over it.  </w:t>
        <w:br/>
        <w:t xml:space="preserve">5. Insofar as it results in a transition from joint control to exclusive control, the notified operation constitutes a concentration operation within the meaning of Article L. 430-1 of the Commercial Code.  </w:t>
        <w:br/>
        <w:t>6. The concerned companies operate one or more retail stores and together achieve a total worldwide turnover of more than 75 million euros (Casino group: 26.7 billion euros for the fiscal year ending December 31, 2009; DSO: […] million euros for the same year). The concerned companies achieve a turnover exceeding 15 million euros in France in the retail sector (Casino group: 17 billion euros for the fiscal year ending December 31, 2009; the company DSO: the turnover mentioned above is entirely realized in France). The operation does not have a community dimension insofar as each of the concerned companies achieves more than two-thirds of its turnover in France.</w:t>
      </w:r>
    </w:p>
    <w:p>
      <w:r>
        <w:t>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7. According to the consistent practice of national and community competition authorities, two categories of markets can be delineated in the food-dominated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w:t>
      </w:r>
    </w:p>
    <w:p>
      <w:r>
        <w:t xml:space="preserve">A. DOWNSTREAM MARKETS OF DISTRIBUTION  </w:t>
        <w:br/>
        <w:t xml:space="preserve">1. SERVICE MARKETS  </w:t>
        <w:br/>
        <w:t xml:space="preserve">8. Regarding the retail sale of everyday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maxi discounters, (vi) mail order sales.  </w:t>
        <w:br/>
        <w:t xml:space="preserve">9. Hypermarkets are usually defined as food-dominated stores with a sales area equal to or greater than 2,500 m², and supermarkets as food-dominated stores with a sales area of less than 2,500 m² and greater than 400 m². However, it should be noted that these thresholds should be used with caution and may be adapted to the specific case, as stores whose area is close to a threshold, either below or above, may find themselves in direct competition with stores of another category.  </w:t>
        <w:br/>
        <w:t>10. In this case, the sales outlets concerned by the operation are maxi-discounters, operated under the brand Leader Price. 61 of the 62 of these sales outlets have a sales area greater than 400 m² and less than 2,500 m². They therefore fall into the category of supermarkets.</w:t>
      </w:r>
    </w:p>
    <w:p>
      <w:r>
        <w:rPr>
          <w:b/>
        </w:rPr>
        <w:t>[Pages 4–6]</w:t>
      </w:r>
    </w:p>
    <w:p>
      <w:r>
        <w:t>11. A single store, located in Balma (31), occupies an area of 298 m2 and would therefore fall under the category of small retail businesses whose sales outlets have an area of less than 400 m². However, it should be noted that the local general food trade is characterized by a clientele composed mainly of people living less than 500 meters from the sales outlet, who walk to the sales location and make low-value purchases. However, it should be considered that this sales outlet is located along a busy departmental road, outside the city center of Balma and is not easily accessible on foot. It is therefore unlikely to be attractive to a clientele wishing to walk to a nearby sales outlet to make purchases of low value. In light of the particular circumstances of the case, it follows that the sales outlet in Balma, although having a sales area of less than 400 m², is more in competition with the supermarkets in the catchment area than with the local general food businesses.</w:t>
      </w:r>
    </w:p>
    <w:p>
      <w:r>
        <w:t>2. GEOGRAPHICAL DELIMITATION</w:t>
      </w:r>
    </w:p>
    <w:p>
      <w:r>
        <w:t>12. In its recent decisions regarding operations involving hypermarkets or supermarkets, the Competition Authority has recalled that depending on the size of the stores concerned, the conditions of competition should be assessed over two different areas:</w:t>
        <w:br/>
        <w:t>- a first market where the demand from consumers in an area meets the supply of hypermarkets that they can access within 30 minutes of driving and which are, from their point of view, substitutable for each other;</w:t>
        <w:br/>
        <w:t>- a second market where the demand from consumers meets the supply of supermarkets and equivalent forms of trade located within 15 minutes of driving time. These latter forms of trade may include, in addition to supermarkets, hypermarkets located near consumers and discount stores.</w:t>
      </w:r>
    </w:p>
    <w:p>
      <w:r>
        <w:t>13. Other criteria may nevertheless be taken into account to assess the impact of a concentration on the competitive situation in retail distribution markets, which may lead to refining, in the specific case, the usual delimitations presented above.</w:t>
      </w:r>
    </w:p>
    <w:p>
      <w:r>
        <w:t>14. In this case, the 62 stores operated by DSO falling into the category of supermarkets and maxi-discount stores, the competitive analysis will be conducted on the market including supermarkets and equivalent forms of trade located within a 15-minute radius around each sales outlet.</w:t>
      </w:r>
    </w:p>
    <w:p>
      <w:r>
        <w:t>15. The investigation revealed that the operation involved an overlap of activity in 55 catchment areas located in the Southwest of France and detailed in paragraphs 17 and following below.</w:t>
      </w:r>
    </w:p>
    <w:p>
      <w:r>
        <w:t>B. UPSTREAM SUPPLY MARKETS</w:t>
      </w:r>
    </w:p>
    <w:p>
      <w:r>
        <w:t>16. Regarding supply markets, the European Commission has recognized the existence of markets of national dimension by major product groups, a delimitation followed by national authorities.</w:t>
      </w:r>
    </w:p>
    <w:p>
      <w:r>
        <w:t>17. There is no need to challenge this delimitation in the context of the present operation.</w:t>
      </w:r>
    </w:p>
    <w:p>
      <w:r>
        <w:t>III. Competitive Analysis</w:t>
      </w:r>
    </w:p>
    <w:p>
      <w:r>
        <w:t>A. DOWNSTREAM FOOD DISTRIBUTION MARKET</w:t>
      </w:r>
    </w:p>
    <w:p>
      <w:r>
        <w:t>18. The operation involves an overlap between the stores owned by DSO and those owned by the Casino group in 55 catchment areas.</w:t>
      </w:r>
    </w:p>
    <w:p>
      <w:r>
        <w:t>19. In 36 of these 55 areas, the market share of the Casino group will remain, following the present operation, below 25% and the new entity will continue to face competition from groups such as Carrefour, Auchan, Intermarché, and Leclerc. Therefore, the operation is not likely to harm competition in these 36 areas.</w:t>
      </w:r>
    </w:p>
    <w:p>
      <w:r>
        <w:t>20. In the remaining 19 catchment areas, the combined market share of the parties and their two main competitors is shown in the table below:</w:t>
      </w:r>
    </w:p>
    <w:p>
      <w:r>
        <w:t>| Parties | Competitor 1 | Competitor 2 |</w:t>
        <w:br/>
        <w:t>|---------|---------------|---------------|</w:t>
        <w:br/>
        <w:t>| City    | Market Share  | Market Share  | Market Share  | Total Number of Sales Outlets | Total Number of Sales Outlets | Total Number of Sales Outlets |</w:t>
        <w:br/>
        <w:t>|         |               |               |               | of Parties | of Competitor 1 | of Competitor 2 |</w:t>
        <w:br/>
        <w:t>| Monoprix| Villenave d’Ornon | [0-5] % | [20-30] % | [20-30] % | 11 | Auchan | [20-30] % | 10 | Carrefour | [10-20] % | 9 |</w:t>
        <w:br/>
        <w:t>|         | Colomiers | [0-5] % | [20-30] % | [20-30] % | 16 | Carrefour | [30-40] % | 14 | Intermarché | [10-20] % | 6 |</w:t>
        <w:br/>
        <w:t>|         | Balma | [0-5] % | [20-30] % | [20-30] % | 17 | Carrefour | [20-30] % | 6 | Leclerc | [10-20] % | 1 |</w:t>
        <w:br/>
        <w:t>|         | Toulouse/les minimes | [0-5] % | [20-30] % | [20-30] % | 22 | Carrefour | [20-30] % | 15 | Intermarché | [10-20] % | 8 |</w:t>
        <w:br/>
        <w:t>|         | Ramonville | [0-5] % | [20-30] % | [20-30] % | 14 | Carrefour | [20-30] % | 5 | Leclerc | [10-20] % | 1 |</w:t>
        <w:br/>
        <w:t>|         | Lannemezan | [10-20] % | [5-10] % | [20-30] % | 2 | Intermarché | [20-30] % | 1 | Carrefour | [20-30] % | 1 |</w:t>
        <w:br/>
        <w:t>|         | Saint Alban | [0-5] % | [20-30] % | [30-40] % | 8 | Intermarché | [10-20] % | 6 | Carrefour | [10-20] % | 4 |</w:t>
        <w:br/>
        <w:t>|         | Eauze | [20-30] % | [10-20] % | [30-40] % | 2 | Leclerc | [50-60] % | 1 | Lidl | [10-20] % | 1 |</w:t>
        <w:br/>
        <w:t>|         | Castres/Toulouse | [0-5] % | [20-30] % | [30-40] % | 3 | System U | [20-30] % | 2 | Intermarché | [20-30] % | 4 |</w:t>
        <w:br/>
        <w:t>|         | Toulouse/Desbals | [0-5] % | [30-40] % | [30-40] % | 21 | Carrefour | [40-50] % | 11 | Lidl | [5-10] % | 10 |</w:t>
        <w:br/>
        <w:t>|         | Launaguet | [0-5] % | [30-40] % | [30-40] % | 12 | Auchan | [10-20] % | 3 | Intermarché | [10-20] % | 6 |</w:t>
        <w:br/>
        <w:t>|         | Castres/Audenet | [5-10] % | [20-30] % | [30-40] % | 3 | Intermarché | [20-30] % | 4 | Auchan | [10-20] % | 1 |</w:t>
      </w:r>
    </w:p>
    <w:p>
      <w:r>
        <w:t>7. See the decisions of the Commission M.1684 Carrefour/Promodès of January 25, 2000 and M.2115 Carrefour/GB of September 28, 2000.</w:t>
      </w:r>
    </w:p>
    <w:p>
      <w:r>
        <w:t>8. See in particular the decisions of the minister in the sector, C.2005-98 Carrefour/Penny Market of November 10, 2005, C.2006-15 Carrefour/Groupe Hamon of April 14, 2006, C.2007-172 relating to the creation of the joint venture Plamidis of February 13, 2008, and C.2008-32 Carrefour/SAGC of July 9, 2008.</w:t>
      </w:r>
    </w:p>
    <w:p>
      <w:r>
        <w:t>On 16 catchment areas, the combined market share of the parties will be below 40%:</w:t>
      </w:r>
    </w:p>
    <w:p>
      <w:r>
        <w:t>21. In each of these areas, the parties will face competition from the groups Intermarché, Leclerc, Carrefour, Auchan, and Lidl.</w:t>
      </w:r>
    </w:p>
    <w:p>
      <w:r>
        <w:t>22. Furthermore, in 13 of these areas (Albi, Balma, Carcassonne, Lussac, Castres/Toulouse, Castres/Audenet, Colomiers, Launaguet, Ramonville, Saint Alban, Toulouse/Desbals, Toulouse/les Minimes, Villenave d’Ornon), the increment of market share is low (less than [5-10] %) and in the areas of Toulouse Desbals, Colomiers, and Ramonville, the new entity will not be the market leader.</w:t>
      </w:r>
    </w:p>
    <w:p>
      <w:r>
        <w:t>23. In the area of Lannemezan, the parties will hold a market share of [20-30] % following the operation but will face competition from Intermarché ([20-30] % market share), Carrefour ([20-30] % market share), Aldi ([10-20] % market share), and Lidl ([10-20] % market share).</w:t>
      </w:r>
    </w:p>
    <w:p>
      <w:r>
        <w:t>24. In the area of Eauze, the parties will hold a market share of [30-40] % following the operation but will face competition from the market leader, Leclerc ([50-60] % market share), as well as from Lidl ([10-20] % market share).</w:t>
      </w:r>
    </w:p>
    <w:p>
      <w:r>
        <w:t>25. In the area of Montrayal, the parties will hold a market share of [30-40] % following the operation but will face competition from the Leclerc group ([20-30] % market share), Intermarché ([20-30] % market share), and Lidl ([10-20] % market share).</w:t>
      </w:r>
    </w:p>
    <w:p>
      <w:r>
        <w:t>26. Therefore, the operation is not likely to harm competition in these 16 catchment areas.</w:t>
      </w:r>
    </w:p>
    <w:p>
      <w:r>
        <w:t>In 3 catchment areas, the combined market share of the parties will be above 40%:</w:t>
      </w:r>
    </w:p>
    <w:p>
      <w:r>
        <w:t>27. In the area of Castelnaudary, the parties will hold a market share of [50-60] % following the operation with the Leader Price store, which is the subject of the operation with a surface area of 949 m2, a Geant Casino of 2,300 m2, and a SPAR of 440 m2. However, the new entity will face competition from the Intermarché group ([30-40] % market share with two sales outlets of 1,700 and 600 m²) and the Lidl group ([10-20] % market share for a sales outlet of 672 m²). Furthermore, it should be noted that the Intermarché store has obtained authorization from the Departmental Commission for Commercial Development to increase its sales area from 1,700 m2 to 3,180 m2, thus allowing it to become the leader in the area ([30-40] %) ahead of the Casino group ([30-40] %).</w:t>
      </w:r>
    </w:p>
    <w:p>
      <w:r>
        <w:rPr>
          <w:b/>
        </w:rPr>
        <w:t>[Pages 7–8]</w:t>
      </w:r>
    </w:p>
    <w:p>
      <w:r>
        <w:t>28. In the Carbonne area, the parties will hold a market share of [50-60]% following the operation with a Leader Price of 812 m2, which is the subject of the present operation, and a hyper Casino of 1660 m2. Also present in the area are the Auchan group (with a sales outlet of 1,290 m² representing [20-30]% market share) and the Intermarché group (with a sales outlet of 600 m² representing [10-20]% market share). Furthermore, if we extend the catchment area to a 20-minute drive, we note the presence of a Carrefour hypermarket with an area of 2,950 m², which is likely to exert competitive pressure on the parties' stores given its size and relative proximity.</w:t>
      </w:r>
    </w:p>
    <w:p>
      <w:r>
        <w:t>29. In the Saint André de Cubzac area, the market share of the Casino group will be [60-70]% following the operation with a Leader Price, which is the subject of the operation, of 990 m2 as well as a Géant Casino of 4,748 m2. Also present in the area are the Intermarché group with an Intermarché of 1,320 m2 and a Netto of 650 m2 representing [20-30]% market share and the Carrefour group with a Champion of 1,000 m² representing [10-20]% market share. However, if we extend the catchment area to 16/17 minutes from the target, we note the presence of a Leclerc hypermarket with an area of 7,950 m², which is likely to exert effective competitive pressure on the parties' stores and bringing their market share to [30-40]% (Leclerc holding a market share of [40-50]%). It should also be noted that a Carrefour with an area of 9,900 m² is also present at a distance of 19 minutes by car from the target.</w:t>
      </w:r>
    </w:p>
    <w:p>
      <w:r>
        <w:t>30. Consequently, the operation is not likely to harm competition in the areas of Castelnaudary, Carbonne, and Saint André de Cubzac.</w:t>
      </w:r>
    </w:p>
    <w:p>
      <w:r>
        <w:t>31. Considering all these elements, to which should be added the determining influence exerted on DSO by RLPI prior to the operation, it is not likely to harm competition in the downstream market of food-dominated distribution.</w:t>
      </w:r>
    </w:p>
    <w:p>
      <w:r>
        <w:t>B. UPSTREAM SUPPLY MARKET</w:t>
      </w:r>
    </w:p>
    <w:p>
      <w:r>
        <w:t>32. Regarding the upstream supply markets, it should be noted that the 62 stores concerned by the operation represent, in 2009, less than [5-10]% of the turnover achieved by the Casino group in France under the Franprix/Leader-Price brand and less than [0-5]% of the national turnover generated by the entire food distribution activity of the group. The acquisition of DSO is therefore not likely to significantly strengthen the purchasing power of the Casino group, across all products as well as by major product groups. The strengthening is even more minor since, prior to the operation, the sales outlets subject to the notified operation were already sourcing almost exclusively through the purchasing center Distribution Leader Price, a subsidiary of the Casino group.</w:t>
      </w:r>
    </w:p>
    <w:p>
      <w:r>
        <w:t>33. Consequently, the operation is not likely to harm competition in the upstream market.</w:t>
      </w:r>
    </w:p>
    <w:p>
      <w:r>
        <w:t>DECIDES</w:t>
      </w:r>
    </w:p>
    <w:p>
      <w:r>
        <w:t>Sole Article: The operation notified under number 10-0222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