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https://www.autoritedelaconcurrence.fr/fr/decision-de-controle-des-concentrations/relative-la-prise-de-controle-exclusif-de-la-societe-dithil</w:t>
      </w:r>
    </w:p>
    <w:p>
      <w:r>
        <w:t>Pages translated : 2</w:t>
      </w:r>
    </w:p>
    <w:p/>
    <w:p>
      <w:r>
        <w:rPr>
          <w:b/>
        </w:rPr>
        <w:t>[Pages 1–2]</w:t>
      </w:r>
    </w:p>
    <w:p>
      <w:r>
        <w:t xml:space="preserve">FRENCH REPUBLIC  </w:t>
        <w:br/>
        <w:t xml:space="preserve">Decision No. 26-DCC-95 of April 17, 2026  </w:t>
        <w:br/>
        <w:t xml:space="preserve">regarding the exclusive control acquisition of the company Dithil by the company  </w:t>
        <w:br/>
        <w:t xml:space="preserve">ITM Entreprises  </w:t>
        <w:br/>
        <w:t xml:space="preserve">The Competition Authority,  </w:t>
        <w:br/>
        <w:t xml:space="preserve">Having regard to the complete notification file submitted to the mergers department on March 20, 2026,  </w:t>
        <w:br/>
        <w:t xml:space="preserve">concerning the exclusive control acquisition of the company Dithil by the company ITM Entreprises, via its  </w:t>
        <w:br/>
        <w:t xml:space="preserve">subsidiary ITM Alimentaire International Région Est, formalized by a letter of intent dated  </w:t>
        <w:br/>
        <w:t xml:space="preserve">March 12, 2026;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Dithil by the company  </w:t>
        <w:br/>
        <w:t xml:space="preserve">ITM Alimentaire International Région Est, ITM Entreprises retaining a preference share, of almost all the shares of the company Dithil, which operates a retail business predominantly in food with a sales area of 2,548 m², under the Intermarché brand, located in Le Thillot (88), as well as, as an ancillary part of this business, a distribution activity of petroleum products and a bar, catering, and restaurant activity. The operation constitutes a concentration, within the meaning of Article L. 430-1 of the Commercial Code. Given the revenues generated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26-076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