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https://www.autoritedelaconcurrence.fr/fr/decision-de-controle-des-concentrations/relative-la-prise-de-controle-exclusif-de-la-societe-djo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19-DCC-28 of February 18, 2019</w:t>
        <w:br/>
        <w:t>regarding the exclusive control acquisition of DJO Global by</w:t>
        <w:br/>
        <w:t>Colfax Corporation</w:t>
        <w:br/>
        <w:t>The Competition Authority,</w:t>
        <w:br/>
        <w:t>Having regard to the complete notification file submitted to the mergers department on January 28, 2019,</w:t>
        <w:br/>
        <w:t>concerning the exclusive control acquisition of DJO Global by Colfax Corporation,</w:t>
        <w:br/>
        <w:t>and formalized by a share purchase agreement dated November 19, 2018;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Colfax Corporation</w:t>
        <w:br/>
        <w:t>of DJO Global, which is active in the sector of development, manufacturing,</w:t>
        <w:br/>
        <w:t>and distribution of orthopedic equipment. It constitutes a concentration operation</w:t>
        <w:br/>
        <w:t>within the meaning of Article L. 430-1 of the Commercial Code. Given the turnover achieved</w:t>
        <w:br/>
        <w:t>by the concerned companies, the operation does not fall under the jurisdiction of the European</w:t>
        <w:br/>
        <w:t>Union. However, the control thresholds mentioned in point I of Article L. 430-2 of the</w:t>
        <w:br/>
        <w:t>Commercial Code are exceeded. This operation is therefore subject to the provisions of</w:t>
        <w:br/>
        <w:t>Articles L. 430-3 and following of the Commercial Code relating to economic concentration.</w:t>
        <w:br/>
        <w:t>2. The operation has also been notified to the competition authorities</w:t>
        <w:br/>
        <w:t>in the United States (December 4, 2018), Germany (December 10, 2018), Austria (December 10,</w:t>
        <w:br/>
        <w:t>2018), and Ukraine (December 10, 2018).</w:t>
        <w:br/>
        <w:t>3.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18-289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