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https://www.autoritedelaconcurrence.fr/fr/decision-de-controle-des-concentrations/relative-la-prise-de-controle-exclusif-de-la-societe-dlpk</w:t>
      </w:r>
    </w:p>
    <w:p>
      <w:r>
        <w:t>Pages translated : 2</w:t>
      </w:r>
    </w:p>
    <w:p/>
    <w:p>
      <w:r>
        <w:rPr>
          <w:b/>
        </w:rPr>
        <w:t>[Pages 1–2]</w:t>
      </w:r>
    </w:p>
    <w:p>
      <w:r>
        <w:t>FRENCH REPUBLIC</w:t>
        <w:br/>
        <w:t>Decision No. 24-DCC-45 of March 14, 2024</w:t>
        <w:br/>
        <w:t>regarding the exclusive control acquisition of the company DLPK by the KKR group</w:t>
        <w:br/>
        <w:t>The Competition Authority,</w:t>
      </w:r>
    </w:p>
    <w:p>
      <w:r>
        <w:t>Having regard to the complete notification file submitted to the mergers department on February 27, 2024, concerning the exclusive control acquisition by the company April of the company DLPK, formalized by a purchase promise dated January 16, 2024;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KKR group, via the company April, of the company DLPK, which is active in the banking and insurance sectors.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24-016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