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https://www.autoritedelaconcurrence.fr/fr/decision-de-controle-des-concentrations/relative-la-prise-de-controle-exclusif-de-la-societe-dock</w:t>
      </w:r>
    </w:p>
    <w:p>
      <w:r>
        <w:t>Pages translated : 2</w:t>
      </w:r>
    </w:p>
    <w:p/>
    <w:p>
      <w:r>
        <w:rPr>
          <w:b/>
        </w:rPr>
        <w:t>[Pages 1–2]</w:t>
      </w:r>
    </w:p>
    <w:p>
      <w:r>
        <w:t xml:space="preserve">FRENCH REPUBLIC  </w:t>
        <w:br/>
        <w:t xml:space="preserve">Decision No. 13-DCC-200 of December 24, 2013  </w:t>
        <w:br/>
        <w:t xml:space="preserve">regarding the exclusive control acquisition of the company Dock Station by the  </w:t>
        <w:br/>
        <w:t xml:space="preserve">company Socipar  </w:t>
        <w:br/>
        <w:t xml:space="preserve">The Competition Authority,  </w:t>
        <w:br/>
        <w:t xml:space="preserve">Having regard to the complete notification file submitted to the mergers department on December 3, 2013, concerning the exclusive control acquisition of the company Dock Station by the company Socipar and formalized by an offer letter dated December 3,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Dock Station, operating three car dealerships of the BMW and Mini brands as well as a motorcycle distribution concession in the city of Marseille (13), by the company Socipar, which itself operates ten car and motorcycle dealerships of the BMW, Mini, Kia, Toyota, Lexus, Mitsubishi, Hyundai, Ssangyong, and Honda brands in the departments of Alpes Maritimes (06) and Var (83). It constitutes a concentration operation within the meaning of Article L. 430-1 of the Commercial Code. Given the turnover achieved by the companies concerned, the operation does not have a community dimension. However,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13-234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