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https://www.autoritedelaconcurrence.fr/fr/decision-de-controle-des-concentrations/relative-la-prise-de-controle-exclusif-de-la-societe-du-0</w:t>
      </w:r>
    </w:p>
    <w:p>
      <w:r>
        <w:t>Pages translated : 17</w:t>
      </w:r>
    </w:p>
    <w:p/>
    <w:p>
      <w:r>
        <w:rPr>
          <w:b/>
        </w:rPr>
        <w:t>[Pages 1–3]</w:t>
      </w:r>
    </w:p>
    <w:p>
      <w:r>
        <w:t>FRENCH REPUBLIC</w:t>
        <w:br/>
        <w:t>Decision No. 15-DCC-63 of June 4, 2015</w:t>
        <w:br/>
        <w:t>regarding the exclusive control of the Société du Journal Midi Libre by the Groupe La Dépêche du Midi</w:t>
        <w:br/>
        <w:t>The Competition Authority,</w:t>
        <w:br/>
        <w:t>Having regard to the notification file submitted in full to the concentrations service on April 13, 2015, regarding the exclusive control of the Société du Journal Midi Libre by the Groupe La Dépêche du Midi, formalized by a letter of offer dated [confidential] and a protocol agreement dated [confidential];</w:t>
        <w:br/>
        <w:t>Having regard to Book IV of the Commercial Code relating to price freedom and competition, and in particular its Articles L. 430-1 to L. 430-7;</w:t>
        <w:br/>
        <w:t>Having regard to the supplementary elements transmitted by the parties during the investigation;</w:t>
        <w:br/>
        <w:t>Having regard to the commitments presented on June 12 and 2, 2015 by the notifying party;</w:t>
        <w:br/>
        <w:t>Adopts the following decision:</w:t>
        <w:br/>
        <w:t>I. The concerned companies and the operation</w:t>
        <w:br/>
        <w:t>1. The Groupe La Dépêche du Midi (hereinafter "GLDM"), a French public limited company with a board of directors, is controlled by the Société Occitane de Communication (hereinafter collectively referred to as "the acquirer"), which holds […]% of its capital and voting rights. The shareholders of the Société Occitane de Communication are individuals (Baylet family), who do not control any other commercial activity.</w:t>
        <w:br/>
        <w:t>2. GLDM is primarily active in the print media sector in the South of France, particularly through the publication of the following titles:</w:t>
        <w:br/>
        <w:t>1 The other shareholders of GLDM include [confidential]</w:t>
      </w:r>
    </w:p>
    <w:p>
      <w:r>
        <w:t>- three regional daily press titles (La Dépêche du Midi, La Nouvelle République des Pyrénées and Le Petit Bleu de Lot-et-Garonne);</w:t>
        <w:br/>
        <w:t>- two regional weekly press titles (La Gazette du Comminges and Le Villefranchois); and</w:t>
        <w:br/>
        <w:t>- other press titles, including Midi Olympique, free press, and various magazines.</w:t>
        <w:br/>
        <w:t>3. The activity of publishing press titles represents more than […]% of the turnover attributable to GLDM in 2013. GLDM is also active in other areas of the print media sector (such as printing press titles on behalf of third parties; operating websites) and in other sectors of activity on an ancillary basis.</w:t>
        <w:br/>
        <w:t>4. The Société du Journal Midi Libre (hereinafter "SJML") heads the group Les Journaux du Midi (hereinafter "GLJM"). It is controlled by Groupe Sud Ouest, which holds […]% of its capital and voting rights.</w:t>
        <w:br/>
        <w:t>5. GLJM is primarily active in the print media sector in the South of France, particularly through the publication of the following titles:</w:t>
        <w:br/>
        <w:t>- three regional daily press titles (Midi Libre, L’Indépendant and Centre Presse);</w:t>
        <w:br/>
        <w:t>- one regional weekly press title (Le Journal de Millau);</w:t>
        <w:br/>
        <w:t>- and a few other press titles (free and magazine).</w:t>
        <w:br/>
        <w:t>6. The activity of publishing press titles represents more than […]% of the consolidated turnover of GLJM in 2013. GLJM is also active in other areas of the print media sector (printing press titles on behalf of third parties; operating websites) but also in other sectors of activity on an ancillary basis (such as operating two local radio stations).</w:t>
        <w:br/>
        <w:t>7. The operation, formalized by a letter of offer dated [confidential] and the protocol agreement dated [confidential], consists of the acquisition of […]% of the capital and voting rights of SJML, by GLDM to the extent of […]%, and the company La Montagne to the extent of […]%. At the end of the operation, GLDM will hold exclusive control of SJML, none of the minority shareholders, including La Montagne, holding rights that would confer them joint control over the latter.</w:t>
        <w:br/>
        <w:t>8. As it results in the exclusive control of GLDM over GLJM, the notified operation constitutes a concentration within the meaning of Article L. 430-1 of the Commercial Code.</w:t>
        <w:br/>
        <w:t>2 Distribution areas: Ariège (09), Aveyron (12), Haute-Garonne (31), Gers (32), Lot (46), Hautes-Pyrénées (65), Tarn (81), Tarn-et-Garonne (82), Lot-et-Garonne (47), Aude (11).</w:t>
        <w:br/>
        <w:t>3 Distribution area: Hautes-Pyrénées (65).</w:t>
        <w:br/>
        <w:t>4 Distribution area: part of Lot-et-Garonne (47).</w:t>
        <w:br/>
        <w:t>5 Distribution area: part of Haute-Garonne (31).</w:t>
        <w:br/>
        <w:t>6 Distribution area: part of Aveyron (12), Lot (46) and Tarn-et-Garonne (82).</w:t>
        <w:br/>
        <w:t>7 Distribution areas: Aude (11), Gard (30), Hérault (34), Lozère (48), Pyrénées-Orientales (66), Aveyron (12).</w:t>
        <w:br/>
        <w:t>8 Distribution areas: Aude (11) and Pyrénées-Orientales (66).</w:t>
        <w:br/>
        <w:t>9 Distribution area: Aveyron (12).</w:t>
        <w:br/>
        <w:t>10 Distribution area: part of Aveyron (12).</w:t>
        <w:br/>
        <w:t>11 The other shareholders of SJML [confidential].</w:t>
      </w:r>
    </w:p>
    <w:p>
      <w:r>
        <w:t>9. The companies concerned together achieve a total worldwide turnover of more than 150 million euros (GLDM: […] million euros for the fiscal year ending December 31, 2013; GLJM: […] million euros for the same fiscal year). Each achieves a turnover in France exceeding 50 million euros (GLDM: […] million euros for the fiscal year ending December 31, 2013; GLJM: […] million euros for the same fiscal year). Given these turnovers, the operation does not fall under the jurisdiction of the European Union. However, the control thresholds mentioned in point I of Article L. 430-2 of the Commercial Code are exceeded. Therefore, the present operation is subject to the provisions of Articles L. 430-3 and following of the Commercial Code relating to economic concentration.</w:t>
        <w:br/>
        <w:t>II. Definition of relevant markets</w:t>
        <w:br/>
        <w:t>A. PRODUCT MARKETS</w:t>
        <w:br/>
        <w:t>10. GLDM and GLJM are simultaneously active in the markets pertaining to the print media sector. They are also both ancillary active in the travel agency market and in the event organization market. Their combined market share is less than [5-10]% (regardless of the market definition used) and they face numerous competitors in each of these markets. The operation is therefore not likely to harm competition in these markets, which will not be subject to a more detailed competitive analysis in this decision.</w:t>
        <w:br/>
        <w:t>1. PUBLICATION OF PRESS TITLES</w:t>
        <w:br/>
        <w:t>11. In the print media sector, competition authorities distinguish between national press, regional press, free press, magazine press, specialized press, as well as markets related to the press, namely in particular the market for printing press titles on behalf of third parties or the market for operating websites related to distributed press titles.</w:t>
        <w:br/>
        <w:t>12 [confidential].</w:t>
        <w:br/>
        <w:t>13 They are each active in this sector through a joint venture with Carlson Wagons Lits Travel.</w:t>
        <w:br/>
        <w:t>14 In each of these markets, practice adopts at least a national geographical definition. Regarding travel agencies, see for example the Commission decisions No. COMP/M.6163 of May 30, 2011, AXA/PERMIRA/OPODO/GO VOYAGES/EDREAMS and No. COMP/M.6704 of November 30, 2012, REWE TOURISTIK GMBH/FERID NASR/EXIM HOLDING SA. Regarding event organization, see in particular the letter from the Minister of Economy, Finance and Employment C2007-14 of November 13, 2007, to the advisors of the CCIP, regarding a concentration in the trade fair and exhibition organization sector, the opinion of the Competition Council No. 07-A-10 of September 26, 2007 regarding the merger of the activities of the Paris Chamber of Commerce and Industry and Unibail Holding SA in the sector of managing congress-exhibition sites and organizing trade fairs and exhibitions, and the decision of the Competition Authority No. 13-DCC-150 of October 29, 2013 regarding the acquisition of exclusive control of the Moniteur group by Infopro Digital.</w:t>
        <w:br/>
        <w:t>15 See in particular the European Commission decision No. COMP/M.3420, GIMD/Socpresse, June 16, 2004, the opinion of the Competition Council No. 05-A-18 of October 11, 2005 regarding the acquisition of the Pôle Ouest of Socpresse and the business assets of SEMIF by SIPA, the letter No. C2007-27 from the Minister of Economy, Finance and Employment of August 28, 2007, to the council of BFCM and L’Est Républicain, regarding a concentration in the publishing sector, the decisions of the Competition Authority No. 09-DCC-72 of December 14, 2009 regarding the exclusive control of EBRA by the Banque Fédérative du Crédit Mutuel, No. 11-DCC-114 of July 12, 2011 regarding the exclusive control of the group l’Est Républicain by the Banque Fédérative du Crédit Mutuel,</w:t>
      </w:r>
    </w:p>
    <w:p>
      <w:r>
        <w:rPr>
          <w:b/>
        </w:rPr>
        <w:t>[Pages 4–6]</w:t>
      </w:r>
    </w:p>
    <w:p>
      <w:r>
        <w:t>a) Delimitation of the markets for written press excluding magazine press</w:t>
        <w:br/>
        <w:t>12. Regarding regional press, decision-making practice distinguishes, due to the different periodicity of the titles, the market for regional daily press (hereinafter "PQR") from that of regional weekly press (hereinafter "PHR")16.</w:t>
        <w:br/>
        <w:t>13. Regarding free press, competition authorities have considered it relevant to distinguish between free press with editorial or informational content and free advertising press (hereinafter "PGA"). Specifically concerning the PGA, a finer segmentation has been made between real estate ads and job offers17.</w:t>
        <w:br/>
        <w:t>14. Regarding specialized press, general public specialized press differs from technical and professional specialized press. Concerning the former, it can be either nationally oriented or locally oriented. Furthermore, within these markets, different segments have been identified based on editorial content, presentation, periodicity, commercial policy, and reader characteristics18.</w:t>
        <w:br/>
        <w:t>15. For each category of press titles, competition authorities identify three product markets: those of readership, commercial advertising, and classified ads.</w:t>
        <w:br/>
        <w:t>16. Moreover, within the framework of the competitive analysis of decision n° 13-DCC-46 regarding the takeover of the "Champagne Ardennes Picardie" division of the Hersant Média group by the Rossel group, the Authority defined and analyzed the effects of the notified operation on the following market segments and sub-segments:</w:t>
        <w:br/>
        <w:t>- within the advertising market: (i) the "local" advertising segment, on the one hand; and (ii) the "extra-local" advertising segment, on the other hand; and</w:t>
        <w:br/>
        <w:t>- within the classified ads market: (i) the "individual" segment, further segmented into "classified ads" and "carnet"; (ii) the "professional" segment, further segmented into "real estate," "automotive," and "employment"; and (iii) the "legal" segment.</w:t>
        <w:br/>
        <w:t>17. In this case, the results of the competitive analysis will be presented according to the segmentations retained by the Authority in its aforementioned decision n°13-DCC-46, although taking these additional delimitations into account does not change the conclusions of the present decision.</w:t>
        <w:br/>
        <w:t>b) Markets related to magazine press</w:t>
        <w:br/>
        <w:t>18. The definition of product markets within magazine press has its own specificities.</w:t>
        <w:br/>
        <w:t>19. Regarding the readership market of magazine press, competition authorities distinguish different markets based on the type of information highlighted, style, presentation, periodicity, commercial policy (subscription or single issue sales), price, and reader characteristics (gender, age, socio-professional categories, income, and residence). Thus, magazine press is segmented into weekly political and general news magazines, television weeklies, women's magazines, economic and financial magazines, general public specialized publications, and professional specialized publications19.</w:t>
        <w:br/>
        <w:t>20. Regarding the commercial advertising market of magazine press, competition authorities20 have considered different approaches to delineate the relevant markets. Three alternative methods have been retained:</w:t>
        <w:br/>
        <w:t>- the first consists of considering that the market for selling advertising space can be determined similarly to the readership market, as magazines dealing with the same theme target readers with similar socio-professional characteristics and allow advertisers to reach the same advertising targets;</w:t>
        <w:br/>
        <w:t>- the second consists of grouping all magazines that share at least 25% of advertisers in common with a reference magazine. Such magazines are considered substitutable from the advertisers' perspective;</w:t>
        <w:br/>
        <w:t>- the third consists of segmenting the market based on the advertisers' sector of activity.</w:t>
        <w:br/>
        <w:t>21. Regarding the classified ads market of magazine press, decision-making practice has segmented between automotive, real estate, and employment classified ads21.</w:t>
        <w:br/>
        <w:t>22. In this case, in the absence of overlap between the parties' activities regarding classified ads in magazine press, only the markets for readership and commercial advertising will be examined.</w:t>
        <w:br/>
        <w:t>2. OTHER BUSINESSES IN THE PRESS SECTOR</w:t>
        <w:br/>
        <w:t>a) Printing for third parties</w:t>
        <w:br/>
        <w:t>23. Regarding the printing of press titles for third parties, decision-making practice has specified that it is necessary to distinguish the printing of press titles, on the one hand, from the printing of administrative and advertising documents and the printing of books, on the other hand, due to the nature of the services concerned (quantities to be printed, frequency, time constraints, paper quality, type of color printing, etc.) and the production tools used (a simple printer is sufficient to print advertising leaflets, whereas specific rotary presses are used for printing dailies)22.</w:t>
        <w:br/>
        <w:t>24. There is no need to challenge these delimitations in the context of the present operation.</w:t>
        <w:br/>
        <w:t>b) Operation of websites</w:t>
        <w:br/>
        <w:t>25. In the sector of website operation, competition authorities23 traditionally distinguish editorial sites that constitute an extension of the paper version of press titles (or companion sites) from sites dedicated to specific themes such as classified ads (general ads, real estate, employment) or practical information related to cities.</w:t>
        <w:br/>
        <w:t>26. For the first category, segmentation has been considered based on the type of information published on the sites24 (political and general news or economic and financial information).</w:t>
        <w:br/>
        <w:t>27. There is no need to challenge these delimitations in the context of the examination of the present operation.</w:t>
        <w:br/>
        <w:t>B. GEOGRAPHICAL MARKETS</w:t>
        <w:br/>
        <w:t>1. PUBLICATION OF PRESS TITLES</w:t>
        <w:br/>
        <w:t>28. According to the decision-making practice of competition authorities, the geographical dimension of media and advertising markets corresponds to their distribution area. Thus, the markets for the publication of written press titles have, depending on the distribution area of the title concerned, a national, regional, departmental, or infra-departmental dimension.</w:t>
        <w:br/>
        <w:t>29. In this case, the activities of the parties therefore overlap in terms of PQR and magazine press25.</w:t>
        <w:br/>
        <w:t>2. OTHER BUSINESSES IN THE PRESS SECTOR</w:t>
        <w:br/>
        <w:t>30. The markets for printing for third parties have been analyzed by decision-making practice at the national and regional levels.</w:t>
        <w:br/>
        <w:t>31. Regarding the markets for the operation of websites, particularly the sale of advertising space on this medium, a dimension of at least national should be retained26.</w:t>
      </w:r>
    </w:p>
    <w:p>
      <w:r>
        <w:rPr>
          <w:b/>
        </w:rPr>
        <w:t>[Pages 7–9]</w:t>
      </w:r>
    </w:p>
    <w:p>
      <w:r>
        <w:t xml:space="preserve">III. Competitive Analysis  </w:t>
        <w:br/>
        <w:t xml:space="preserve">A. ANALYSIS OF HORIZONTAL EFFECTS  </w:t>
        <w:br/>
        <w:t xml:space="preserve">1. PUBLICATION OF PRESS TITLES  </w:t>
        <w:br/>
        <w:t xml:space="preserve">a) The Regional Daily Press (PQR)  </w:t>
        <w:br/>
        <w:t xml:space="preserve">Position of the parties  </w:t>
        <w:br/>
        <w:t xml:space="preserve">32. The activities of the parties involved in the operation overlap in the departments of Aude (11) and Aveyron (12).  </w:t>
        <w:br/>
        <w:t xml:space="preserve">♦ Aude:  </w:t>
        <w:br/>
        <w:t xml:space="preserve">33. GLDM distributes "La Dépêche du Midi" throughout the department of Aude, and GLJM distributes "Le Midi Libre" and "L’Indépendant" there.  </w:t>
        <w:br/>
        <w:t xml:space="preserve">34. The respective market shares of the parties involved in the operation in the readership, advertising, and classified ads markets in the department of Aude are as follows:  </w:t>
        <w:br/>
        <w:t xml:space="preserve">Advertising** Classified ads**  </w:t>
        <w:br/>
        <w:t xml:space="preserve">Individual Professional  </w:t>
        <w:br/>
        <w:t xml:space="preserve">2013 Readership*  </w:t>
        <w:br/>
        <w:t xml:space="preserve">Extra-  </w:t>
        <w:br/>
        <w:t xml:space="preserve">Local Classified Legal  </w:t>
        <w:br/>
        <w:t xml:space="preserve">local Notices*** Real Estate Auto Employment  </w:t>
        <w:br/>
        <w:t xml:space="preserve">ads  </w:t>
        <w:br/>
        <w:t xml:space="preserve">Sales 7 360 […] […] […] […] […] […] […] […] […]  </w:t>
        <w:br/>
        <w:t xml:space="preserve">GLDM  </w:t>
        <w:br/>
        <w:t xml:space="preserve">[30- [20- [10- [10- [20- [30-  </w:t>
        <w:br/>
        <w:t xml:space="preserve">Market Share 25 % [0-5]% [20-30]%  </w:t>
        <w:br/>
        <w:t xml:space="preserve">40]% 30]% 20]% 20]% 30]% 40]%  </w:t>
        <w:br/>
        <w:t xml:space="preserve">Sales 21 833 […] […] […] […] […] […] […] […] […]  </w:t>
        <w:br/>
        <w:t xml:space="preserve">GLJM  </w:t>
        <w:br/>
        <w:t xml:space="preserve">[70- [70- [90- [80- [70- [60-  </w:t>
        <w:br/>
        <w:t xml:space="preserve">Market Share 75 % [90-100]% [70-80]%  </w:t>
        <w:br/>
        <w:t xml:space="preserve">80]% 80]% 100]% 90]% 80]% 70]%  </w:t>
        <w:br/>
        <w:t xml:space="preserve">Sales 29 193 […] […] […] […] […] […] […] […] […]  </w:t>
        <w:br/>
        <w:t xml:space="preserve">Total  </w:t>
        <w:br/>
        <w:t xml:space="preserve">Market Share 100 % 100 % 100 % 100 % 100 % 100 % 100 % 100 % 100 %  </w:t>
        <w:br/>
        <w:t xml:space="preserve">*Sales correspond to the average number of copies sold per week in 2013.  </w:t>
        <w:br/>
        <w:t xml:space="preserve">**Sales correspond to the revenue generated in 2013 (K€).  </w:t>
        <w:br/>
        <w:t xml:space="preserve">*** Including orders placed by funeral homes and other businesses.  </w:t>
        <w:br/>
        <w:t xml:space="preserve">♦ Aveyron:  </w:t>
        <w:br/>
        <w:t>35. GLDM distributes "La Dépêche du Midi" throughout the department of Aveyron, and GLJM distributes "Le Midi Libre" and "Centre Presse" there.</w:t>
      </w:r>
    </w:p>
    <w:p>
      <w:r>
        <w:t xml:space="preserve">Advertising** Classified ads**  </w:t>
        <w:br/>
        <w:t xml:space="preserve">Individual Professional  </w:t>
        <w:br/>
        <w:t xml:space="preserve">2013 Readership*  </w:t>
        <w:br/>
        <w:t xml:space="preserve">Extra-  </w:t>
        <w:br/>
        <w:t xml:space="preserve">Local Classified Legal  </w:t>
        <w:br/>
        <w:t xml:space="preserve">local Notices*** Real Estate Auto Employment  </w:t>
        <w:br/>
        <w:t xml:space="preserve">ads  </w:t>
        <w:br/>
        <w:t xml:space="preserve">Sales […] […] […] […] […] […] […] […] […]  </w:t>
        <w:br/>
        <w:t xml:space="preserve">GLDM  </w:t>
        <w:br/>
        <w:t xml:space="preserve">[30- [20- [10- [0- [20- [20-  </w:t>
        <w:br/>
        <w:t xml:space="preserve">Market Share 20 % [0-5]% [10-20]%  </w:t>
        <w:br/>
        <w:t xml:space="preserve">40]% 30]% 20]% 5]% 30]% 30]%  </w:t>
        <w:br/>
        <w:t xml:space="preserve">Sales […] […] […] […] […] […] […] […] […]  </w:t>
        <w:br/>
        <w:t xml:space="preserve">GLJM  </w:t>
        <w:br/>
        <w:t xml:space="preserve">[60- [70- [90- [90- [70- [70-  </w:t>
        <w:br/>
        <w:t xml:space="preserve">Market Share 80 % [90-100]% [80-90]%  </w:t>
        <w:br/>
        <w:t xml:space="preserve">70]% 80]% 100]% 100]% 80]% 80]%  </w:t>
        <w:br/>
        <w:t xml:space="preserve">Sales […] […] […] […] […] […] […] […] […]  </w:t>
        <w:br/>
        <w:t xml:space="preserve">Total  </w:t>
        <w:br/>
        <w:t xml:space="preserve">Market Share 100 % 100 % 100 % 100 % 100 % 100 % 100 % 100 % 100 %  </w:t>
        <w:br/>
        <w:t xml:space="preserve">*Sales correspond to the average number of copies sold per week in 2013.  </w:t>
        <w:br/>
        <w:t xml:space="preserve">**Sales correspond to the revenue generated in 2013 (K€).  </w:t>
        <w:br/>
        <w:t xml:space="preserve">*** Including orders placed by funeral homes and other businesses.  </w:t>
        <w:br/>
        <w:t xml:space="preserve">36. The operation thus results in the creation of monopolies in the readership, advertising, and classified ads markets in the departments of Aude and Aveyron.  </w:t>
        <w:br/>
        <w:t xml:space="preserve">The effects of the operation on the readership markets  </w:t>
        <w:br/>
        <w:t xml:space="preserve">37. The exercise of a dominant market power, let alone monopolistic power, can lead to a double risk for the final consumer: on the one hand, a significant increase in prices; on the other hand, a decrease in volumes or a loss of quality and diversity of goods or services, in the absence of competitive emulation favorable to research, innovation, the development of new products or services, product differentiation, and more generally to the improvement of their quality.  </w:t>
        <w:br/>
        <w:t xml:space="preserve">38. Regarding the risks of price increases in the monopoly departments, these can be ruled out for several reasons already noted in previous decisions27. First, the high sensitivity of readers to price significantly reduces the risks of an increase in the price per issue. A significant increase in the price of titles would quickly result in a proportionally greater loss of readership. Furthermore, the attachment of readers to a particular PQR title makes it a highly differentiated product, and an increase in the price of a title would not lead to a shift of readers to another title distributed in the same distribution area. Finally, the bifacial nature of the press markets28 makes the interest in such a price increase even weaker, as a loss of readership due to an increase in the price of titles per issue risks leading to a parallel loss of advertisers and thus a drop in advertising revenues.  </w:t>
        <w:br/>
        <w:t xml:space="preserve">39. Consequently, it is appropriate to conclude that the exploitation of the future monopoly by a significant increase in the price of titles in the PQR markets is unlikely.  </w:t>
        <w:br/>
        <w:t xml:space="preserve">40. Regarding the risks of loss of quality and diversity of the concerned press titles, GLDM's exclusive control over all regional daily press titles in the two concerned departments could encourage the new entity to standardize the editorial content of the titles. A more or less significant number of common pages across all titles could thus be introduced at the expense of the specificity of each title's approach to information, whether general or local. While such harmonization of content may be conceivable for inherently undifferentiated information, such as weather sections, cinema schedules, or television programs, it would be much more detrimental to readers concerning other information for which the editorial line of each title is currently differentiated.  </w:t>
        <w:br/>
        <w:t xml:space="preserve">41. Consequently, the notified operation is likely to lead to a homogenization of the content of newspapers, resulting for the consumer/reader in a reduction of the editorial quality and diversity of regional daily press newspapers.  </w:t>
        <w:br/>
        <w:t xml:space="preserve">42. To remedy the identified competition harms above in the readership markets of the PQR in the department of Aude and Aveyron, the notifying party has proposed commitments that will be detailed below.  </w:t>
        <w:br/>
        <w:t xml:space="preserve">The effects of the operation on the advertising and classified ads markets  </w:t>
        <w:br/>
        <w:t xml:space="preserve">43. The competition authorities have noted, in previous decisions29, the gradual decline of the sale of advertising space or classified ads as a source of revenue for a PQR title resulting from advertisers turning to other media, such as websites, free editorial content press, or free information press30. These markets thus appear structurally constrained by other media even if the substitutability between different advertising media remains insufficient to broaden the relevant markets.  </w:t>
        <w:br/>
        <w:t xml:space="preserve">44. However, the production cost of a PQR title is often higher than its selling price (which is the case for La Dépêche du Midi, Le Midi Libre, and L’Indépendant), and the sale of advertising space or classified ads thus constitutes an important source of revenue for a newspaper. According to estimates from the notifying party, advertising represents about […]% of the total revenues of a PQR title, with sales per issue and subscription sales representing about […]% of the turnover. PQR titles thus struggle to balance their accounts. Thus, in this case, [confidential]. It therefore appears unlikely that the parties could deprive themselves, even temporarily, of the revenues from advertisers. This threat of advertiser withdrawal is thus likely to deter the new entity from fully exploiting a strategy of increasing prices for classified ads and advertising spaces.  </w:t>
        <w:br/>
        <w:t xml:space="preserve">45. It follows from all these elements that the risks of harming competition in the advertising and classified ads markets can be ruled out.  </w:t>
        <w:br/>
        <w:t xml:space="preserve">b) The Regional Free Press (PHR)  </w:t>
        <w:br/>
        <w:t xml:space="preserve">46. GLDM publishes two PHR titles distributed in part of Haute-Garonne, Aveyron, Lot, and Tarn-et-Garonne. GLJM publishes only one PHR title whose distribution area is the Millau district (Aveyron) where no GLDM title is distributed.  </w:t>
        <w:br/>
        <w:t xml:space="preserve">29 See notably decisions n°11-DCC-114 and 13-DCC-46.  </w:t>
        <w:br/>
        <w:t>30 Large retailers thus massively use leaflets to advertise their points of sale in their catchment area.</w:t>
      </w:r>
    </w:p>
    <w:p>
      <w:r>
        <w:rPr>
          <w:b/>
        </w:rPr>
        <w:t>[Pages 10–12]</w:t>
      </w:r>
    </w:p>
    <w:p>
      <w:r>
        <w:t xml:space="preserve">47. At the level of the Aveyron department, the notifying party estimates that the PHR titles distributed by the parties represent a combined share of [50-60]%.  </w:t>
        <w:br/>
        <w:t xml:space="preserve">48. However, since these titles are not distributed in the same areas within the Aveyron department, the operation does not entail any horizontal overlap regarding the PHR, and the risks of harming competition in this market can therefore be dismissed.  </w:t>
        <w:br/>
        <w:t xml:space="preserve">c) The publication of free press titles  </w:t>
        <w:br/>
        <w:t xml:space="preserve">Free press with editorial or informational content  </w:t>
        <w:br/>
        <w:t xml:space="preserve">49. Each party publishes a free press title with editorial or informational content.  </w:t>
        <w:br/>
        <w:t xml:space="preserve">50. GLDM publishes L’Urbain Gratuit Hebdo (hereinafter, "UGH"), a weekly launched in spring 2014 and distributed by "hawking" (i.e., hand-to-hand) every Saturday afternoon (approximately [confidential] copies), exclusively in the urban community of Toulouse.  </w:t>
        <w:br/>
        <w:t xml:space="preserve">51. GLJM, through its subsidiary SPGM, publishes Direct Matin Montpellier Plus, a daily distributed in "deposit" (i.e., made available in public places) and by hawking exclusively in the urban community of Montpellier. Direct Matin Montpellier Plus is part of the "Direct Matin network" of the Bolloré Medias group.  </w:t>
        <w:br/>
        <w:t xml:space="preserve">52. The free press titles with editorial or informational content from the parties are not distributed in the same geographical areas and do not correspond to the same periodicity (weekly vs. daily), so the operation is not likely to raise any risk of harming competition in the markets for the publication of free press titles with editorial or informational content.  </w:t>
        <w:br/>
        <w:t xml:space="preserve">Free advertising press  </w:t>
        <w:br/>
        <w:t xml:space="preserve">53. The parties are only active in the field of free real estate advertising press. However, since their titles are not distributed in the same geographical areas, the operation is therefore not likely to raise any risk of harming competition in the markets for the publication of free advertising press titles.  </w:t>
        <w:br/>
        <w:t xml:space="preserve">d) The publication of magazine press titles  </w:t>
        <w:br/>
        <w:t xml:space="preserve">The readership of magazine press  </w:t>
        <w:br/>
        <w:t xml:space="preserve">54. Regarding magazine press, the parties only publish specialized general public publications. Most of the magazines published by the parties are free; their only paid magazines are Midol Mag, Rugbyrama, Une Saison de Rugby, and Toulouse Mag (scheduled to cease in December 2014) for GLDM; and Terres Catalanes and Midi Gourmand for GLJM.  </w:t>
        <w:br/>
        <w:t xml:space="preserve">55. The respective themes of almost all the magazines of GLDM and GLJM and their editorial content are different, regardless of the periodicities considered. Consequently, the magazines published by the parties do not compete with each other since they do not target the same readerships, except for the "summer cultural guides" distributed for free. These tourist guides aim to present the department through purely descriptive articles without any added editorial value.  </w:t>
        <w:br/>
        <w:t xml:space="preserve">56. The only two departments in which both parties publish summer guides are Aude and Aveyron. In each of these departments, these titles are competed by other free publications available, notably in tourist offices. Furthermore, there are numerous websites that present the same information as described in these guides.  </w:t>
        <w:br/>
        <w:t xml:space="preserve">57. The operation is therefore not likely to harm competition in the market for readership of free "tourist guides."  </w:t>
        <w:br/>
        <w:t xml:space="preserve">The sale of advertising space in the press  </w:t>
        <w:br/>
        <w:t xml:space="preserve">58. In the field of selling advertising space in the press, the combined market share of the parties is less than [30-40]% regardless of the market segmentation and estimation method used.  </w:t>
        <w:br/>
        <w:t xml:space="preserve">59. Moreover, decision-making practice has already noted that, even if the substitutability between different advertising media remains insufficient to redefine the relevant markets, the sales of advertising space in the press are structurally constrained by other media, notably by the competitive pressure from the internet.  </w:t>
        <w:br/>
        <w:t xml:space="preserve">60. Under these conditions, the notified operation is not likely to harm competition in the market for the sale of advertising space in magazine press.  </w:t>
        <w:br/>
        <w:t xml:space="preserve">2. PRINTING FOR THIRD PARTIES  </w:t>
        <w:br/>
        <w:t xml:space="preserve">a) Printing press titles for third parties  </w:t>
        <w:br/>
        <w:t xml:space="preserve">61. GLDM and GLJM each engage, on a marginal basis, in printing activities for third parties. GLDM's printing house, L’Occitane d’Imprimerie, is located in Toulouse (Midi-Pyrénées region), while GLJM's printing house is located in Saint-Jean-de-Védas (Languedoc-Roussillon region). GLDM prints Direct Matin Toulouse and Le Monde; GLJM also prints Les Echos and Le Monde.  </w:t>
        <w:br/>
        <w:t xml:space="preserve">62. At the national level, the notifying party estimates the market share of the new entity to be less than [5-10]% of the market for printing press titles for third parties, which includes many players in France.  </w:t>
        <w:br/>
        <w:t xml:space="preserve">63. At the sub-national level, the printing houses of the parties are located in two different regions, approximately 240 kilometers apart. This distance significantly limits the overlap of their activities, particularly due to the time and logistical constraints related to the distribution of daily press. The notifying party specifies that the national daily "Le Monde" is currently a client of both printing houses in order to be distributed the same evening in this part of France. Following the operation, the printing of copies of this title could therefore not be transferred from GLDM's printing house to GLJM's, and vice versa, due to these logistical constraints. Furthermore, several competing infrastructures are capable of offering printing services to the publishers of press titles that currently turn to GLDM and GLJM.  </w:t>
        <w:br/>
        <w:t xml:space="preserve">64. Given these elements, the notified operation is not likely to harm competition in the market for printing press titles for third parties.  </w:t>
        <w:br/>
        <w:t xml:space="preserve">b) Printing administrative documents for third parties  </w:t>
        <w:br/>
        <w:t xml:space="preserve">65. The combined share of the parties in this market is less than [5-10]% at the regional level and less than [0-5]% at the national level.  </w:t>
        <w:br/>
        <w:t xml:space="preserve">66. According to the notifying party, many printing houses compete with L’Occitane d’Imprimerie and IDM, whether at the regional, national, or European level. Indeed, the time constraints would be much lower in this activity than in the printing of press titles, particularly daily ones, and orders would generally be placed several days in advance. Furthermore, the notifying party explains that the market is characterized by overcapacity, which the economic situation has exacerbated, particularly in Spain, leading Spanish printers to charge rates generally much lower than those observed in France. It is therefore interesting and easy for clients to turn to foreign suppliers.  </w:t>
        <w:br/>
        <w:t xml:space="preserve">67. Given these elements, the notified operation is not likely to harm competition in the market for printing administrative documents for third parties.  </w:t>
        <w:br/>
        <w:t xml:space="preserve">3. OPERATION OF WEBSITES  </w:t>
        <w:br/>
        <w:t xml:space="preserve">68. GLDM and GLJM both operate websites that extend the paper version of their press titles as well as advertising sites.  </w:t>
        <w:br/>
        <w:t xml:space="preserve">69. Regardless of the segmentation retained in the national markets for the operation of websites, the parties estimate that their combined audience share is less than [5-10]%.  </w:t>
        <w:br/>
        <w:t xml:space="preserve">70. Furthermore, there are many competing websites offering local or regional information. Regarding editorial sites, competitors include media websites offering local information (local television, local or national radio, regional PHR titles, editorial free sites, local authorities' websites, and tourist offices), websites not linked to another media, and almost all major national news or practical information sites as they provide search tools to obtain localized information.  </w:t>
        <w:br/>
        <w:t xml:space="preserve">71. Regarding advertising sites, competitors include regional or national real estate and employment advertising websites.  </w:t>
        <w:br/>
        <w:t xml:space="preserve">72. It follows from these elements that the notified operation is not likely to harm competition in the markets for the operation of editorial and advertising websites.  </w:t>
        <w:br/>
        <w:t xml:space="preserve">B. ANALYSIS OF CONGLOMERATE EFFECTS  </w:t>
        <w:br/>
        <w:t>73. A concentration has conglomerate effects when the new entity extends or strengthens its presence in several markets whose connectivity may allow it to increase its market power. While conglomerate concentrations can generally generate pro-competitive synergies, some may nevertheless produce restrictive effects on competition.</w:t>
      </w:r>
    </w:p>
    <w:p>
      <w:r>
        <w:rPr>
          <w:b/>
        </w:rPr>
        <w:t>[Pages 13–15]</w:t>
      </w:r>
    </w:p>
    <w:p>
      <w:r>
        <w:t>Libre » et de « L’Indépendant » dans le département de l’Aude.</w:t>
      </w:r>
    </w:p>
    <w:p>
      <w:r>
        <w:t>92. GLDM s’est également engagée à maintenir un niveau de concurrence suffisant sur le marché de la PQR dans le département de l’Aude, en s’assurant que les titres de presse concernés continuent de proposer des contenus diversifiés et de qualité.</w:t>
      </w:r>
    </w:p>
    <w:p>
      <w:r>
        <w:t>93. En outre, GLDM a accepté de ne pas augmenter les tarifs publicitaires dans les titres de presse concernés pendant la durée des engagements, afin de préserver l'accès des annonceurs locaux à ces supports.</w:t>
      </w:r>
    </w:p>
    <w:p>
      <w:r>
        <w:t>94. La mise en œuvre de ces engagements sera régulièrement évaluée par l’Autorité de la concurrence, qui pourra demander des ajustements si nécessaire pour garantir le respect des objectifs de concurrence.</w:t>
      </w:r>
    </w:p>
    <w:p>
      <w:r>
        <w:t>95. Enfin, GLDM a convenu de communiquer de manière transparente sur les résultats de ses engagements, en fournissant des rapports annuels à l’Autorité de la concurrence sur l’évolution de la concurrence sur les marchés concernés.</w:t>
      </w:r>
    </w:p>
    <w:p>
      <w:r>
        <w:rPr>
          <w:b/>
        </w:rPr>
        <w:t>[Pages 16–17]</w:t>
      </w:r>
    </w:p>
    <w:p>
      <w:r>
        <w:t xml:space="preserve">commitments.  </w:t>
        <w:br/>
        <w:t xml:space="preserve">91. To ensure the maintenance of editorial diversity in the department of Aude, GLDM has committed not to harmonize international, national, regional, departmental, and local information between the editions of "La Dépêche du Midi," "Midi Libre," and "L’Indépendant." This commitment does not cover departmental information published in "Midi Libre" and "L’Indépendant" to the extent that this information is already subject, prior to the operation, to harmonization through a common editorial team in the department of Aude.  </w:t>
        <w:br/>
        <w:t xml:space="preserve">92. To ensure the maintenance of editorial diversity in the department of Aveyron, GLDM commits not to harmonize international, national, regional, departmental, and local information between the editions of "La Dépêche du Midi," "Midi Libre," and "Centre Presse." This commitment does not cover departmental information published in "Midi Libre" and "Centre Presse" to the extent that this information is already subject, prior to the operation, to harmonization through a common editorial team in the department of Aveyron.  </w:t>
        <w:br/>
        <w:t xml:space="preserve">93. The commitments made for the departments of Aude and Aveyron do not cover national and international information and information that is inherently undifferentiated (stock market, weather, horse racing, television programs, horoscopes, games, etc.).  </w:t>
        <w:br/>
        <w:t xml:space="preserve">94. The notifying party retains the possibility of dispatching common journalists and/or benefiting from common correspondents to ensure factual coverage of an event, but without this leading to a de facto harmonization of the aforementioned titles. The commitments consequently provide that each title will retain the freedom to enrich the information dispatches received, not to use them, and to send their own journalists to cover the event. GLDM has committed to maintaining an independent editorial team for each of the titles "La Dépêche du Midi," "Midi Libre," "L’Indépendant," and "Centre Presse." These titles will continue to have a dedicated editorial team, including at least one editor-in-chief and a team of journalists capable of handling international, national, regional, departmental, and local information.  </w:t>
        <w:br/>
        <w:t xml:space="preserve">95. To maintain the current diversity of PQR titles in the department of Aude, GLDM has also committed to maintaining the distribution of "La Dépêche du Midi," "Midi Libre," and "L’Indépendant." This commitment is made on the condition that the paid circulation of "La Dépêche du Midi" does not fall below an annual average of 3,100 copies per day, the paid circulation of "Midi Libre" does not fall below an annual average of 2,700 copies per day, and the paid circulation of "L’Indépendant" does not fall below an annual average of 7,700 copies per day.  </w:t>
        <w:br/>
        <w:t xml:space="preserve">96. Similarly, to maintain the current diversity of PQR titles in the department of Aveyron, GLDM has also committed to maintaining the distribution of "La Dépêche du Midi," "Midi Libre," and "Centre Presse" subject to a minimum threshold of copies sold.  </w:t>
        <w:br/>
        <w:t xml:space="preserve">97. The parties have proposed to set the threshold at […]% of the number of copies sold during the month in which sales were lowest over the past four years. Thus, this commitment to maintain the titles is made on the condition that the paid circulation of "La Dépêche du Midi" does not fall below an annual average of 3,200 copies per day, the paid circulation of "Midi Libre" exceeds an annual average of 4,900 copies per day, and the paid circulation of "Centre Presse" exceeds an annual average of 8,200 copies per day.  </w:t>
        <w:br/>
        <w:t xml:space="preserve">98. To fulfill its obligations, GLDM will have the possibility to allocate its agencies within the department of Aude and Aveyron as it sees fit and to proceed with the geographical division of the local editions of the concerned titles.  </w:t>
        <w:br/>
        <w:t xml:space="preserve">99. All of these commitments will thus allow for the maintenance of existing titles in the geographical area where the concentration has a competitive impact while ensuring the autonomy and content diversity of the titles thus distributed.  </w:t>
        <w:br/>
        <w:t xml:space="preserve">100. Consequently, the Authority considers that the commitments proposed by the notifying party are sufficient to remedy the anti-competitive effects of the operation.  </w:t>
        <w:br/>
        <w:t xml:space="preserve">DECIDES  </w:t>
        <w:br/>
        <w:t xml:space="preserve">Single Article: The operation notified under number 14-205 is authorized subject to the commitments described above and annexed to this decision.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