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https://www.autoritedelaconcurrence.fr/fr/decision-de-controle-des-concentrations/relative-la-prise-de-controle-exclusif-de-la-societe-dubost</w:t>
      </w:r>
    </w:p>
    <w:p>
      <w:r>
        <w:t>Pages translated : 5</w:t>
      </w:r>
    </w:p>
    <w:p/>
    <w:p>
      <w:r>
        <w:rPr>
          <w:b/>
        </w:rPr>
        <w:t>[Pages 1–3]</w:t>
      </w:r>
    </w:p>
    <w:p>
      <w:r>
        <w:t xml:space="preserve">FRENCH REPUBLIC  </w:t>
        <w:br/>
        <w:t xml:space="preserve">Decision No. 11-DCC-200 of December 13, 2011  </w:t>
        <w:br/>
        <w:t xml:space="preserve">regarding the exclusive control of Dubost Holding by  </w:t>
        <w:br/>
        <w:t>Findis</w:t>
      </w:r>
    </w:p>
    <w:p>
      <w:r>
        <w:t xml:space="preserve">The Competition Authority,  </w:t>
        <w:br/>
        <w:t xml:space="preserve">Having regard to the notification file sent to the merger service on November 7, 2011, and  </w:t>
        <w:br/>
        <w:t xml:space="preserve">declared complete on December 9, 2011, regarding the exclusive control of Dubost  </w:t>
        <w:br/>
        <w:t xml:space="preserve">Holding by Findis, formalized by a share transfer agreement dated  </w:t>
        <w:br/>
        <w:t xml:space="preserve">November 4, 2011;  </w:t>
        <w:br/>
        <w:t xml:space="preserve">Having regard to Book IV of the Commercial Code relating to price freedom and competition, and  </w:t>
        <w:br/>
        <w:t xml:space="preserve">notably its Articles L. 430-1 to L. 430-10;  </w:t>
        <w:br/>
        <w:t xml:space="preserve">Having regard to the supplementary elements transmitted by the parties during the investigation;  </w:t>
        <w:br/>
        <w:t>Adopts the following decision:</w:t>
      </w:r>
    </w:p>
    <w:p>
      <w:r>
        <w:t xml:space="preserve">I. The companies concerned and the operation  </w:t>
        <w:br/>
        <w:t xml:space="preserve">1. Findis is the parent company of the Findis group. It is controlled by the investment fund  </w:t>
        <w:br/>
        <w:t xml:space="preserve">Activa Capital Fund II, managed by Activa Capital, subject to the fluctuating control of  </w:t>
        <w:br/>
        <w:t xml:space="preserve">private individuals. Findis holds exclusive control over several subsidiaries active in the  </w:t>
        <w:br/>
        <w:t xml:space="preserve">wholesale and retail distribution of household appliances.  </w:t>
        <w:br/>
        <w:t xml:space="preserve">2. Dubost Holding, currently controlled by the Dubost family, is the parent holding company of  </w:t>
        <w:br/>
        <w:t xml:space="preserve">the Dubost group, present in the wholesale and retail distribution sector of  </w:t>
        <w:br/>
        <w:t xml:space="preserve">household appliances. Cocelec Rhône-Alpes is one of the subsidiaries of Dubost Holding and  </w:t>
        <w:br/>
        <w:t xml:space="preserve">is exclusively controlled by it.  </w:t>
        <w:br/>
        <w:t xml:space="preserve">3. By a purchase promise countersigned on September 30, 2011, Gemdis, indirectly controlled  </w:t>
        <w:br/>
        <w:t xml:space="preserve">by Findis, took exclusive control of the business of Cocelec Rhône-Alpes, controlled by  </w:t>
        <w:br/>
        <w:t xml:space="preserve">Dubost Holding. Given the turnover of the target, this operation, taken in isolation, did not  </w:t>
        <w:br/>
        <w:t xml:space="preserve">exceed the control thresholds mentioned in I of Article L. 430-2 of the Commercial Code.  </w:t>
        <w:br/>
        <w:t xml:space="preserve">Nevertheless, by a share transfer agreement signed on November 4, 2011, Findis now intends  </w:t>
        <w:br/>
        <w:t>to take control of Dubost Holding. This operation constitutes a concentration</w:t>
      </w:r>
    </w:p>
    <w:p>
      <w:r>
        <w:t xml:space="preserve">within the meaning of Article L. 430-1 of the Commercial Code. In accordance with Article 5,  </w:t>
        <w:br/>
        <w:t xml:space="preserve">paragraph 2, second subparagraph, of Regulation No. 139/2004, since this operation occurs  </w:t>
        <w:br/>
        <w:t xml:space="preserve">less than two years after the acquisition of the business of Cocelec Rhône-Alpes, it must be  </w:t>
        <w:br/>
        <w:t xml:space="preserve">considered that the two operations constitute a single concentration.  </w:t>
        <w:br/>
        <w:t xml:space="preserve">4. The companies concerned achieved a consolidated worldwide turnover of more than 150 million  </w:t>
        <w:br/>
        <w:t xml:space="preserve">euros in the last closed financial year (Activa Capital and the companies it controls: [...] million  </w:t>
        <w:br/>
        <w:t xml:space="preserve">euros for the 2010 financial year; the Dubost group1: [...] million euros for the same financial  </w:t>
        <w:br/>
        <w:t xml:space="preserve">year). Each of these companies achieved a turnover in France exceeding 50 million euros  </w:t>
        <w:br/>
        <w:t xml:space="preserve">(Activa Capital and the companies it controls: [...] million euros for the 2010 financial year;  </w:t>
        <w:br/>
        <w:t xml:space="preserve">the Dubost group2: [...] million euros for the same financial year). Given these turnover figures,  </w:t>
        <w:br/>
        <w:t xml:space="preserve">the operation does not have a community dimension. On the other hand, the control thresholds  </w:t>
        <w:br/>
        <w:t xml:space="preserve">mentioned in I of Article L. 430-2 of the Commercial Code are exceeded. This operation is thus  </w:t>
        <w:br/>
        <w:t xml:space="preserve">subject to the provisions of Articles L. 430-3 and following of the Commercial Code relating to  </w:t>
        <w:br/>
        <w:t>economic concentration.</w:t>
      </w:r>
    </w:p>
    <w:p>
      <w:r>
        <w:t xml:space="preserve">II. Definition of the relevant markets  </w:t>
        <w:br/>
        <w:t xml:space="preserve">A. PRODUCT MARKETS  </w:t>
        <w:br/>
        <w:t xml:space="preserve">1. UPSTREAM MARKETS FOR THE SUPPLY OF HOUSEHOLD APPLIANCES  </w:t>
        <w:br/>
        <w:t xml:space="preserve">5. Regarding the upstream supply markets, decision-making practice considers that "producers  </w:t>
        <w:br/>
        <w:t xml:space="preserve">manufacture specific product groups and are not able to easily convert to the manufacture of  </w:t>
        <w:br/>
        <w:t xml:space="preserve">other products"3. Furthermore, decision-making practice considers that at the level of the  </w:t>
        <w:br/>
        <w:t xml:space="preserve">supply of household appliances, there are as many markets as there are product families  </w:t>
        <w:br/>
        <w:t xml:space="preserve">subject to negotiation, each distributor putting different suppliers in competition in each of  </w:t>
        <w:br/>
        <w:t xml:space="preserve">the markets4. Thus, a distribution by product group has been considered the most relevant.  </w:t>
        <w:br/>
        <w:t xml:space="preserve">6. Based on the organization of the "purchasing" divisions of distributors, decision-making  </w:t>
        <w:br/>
        <w:t xml:space="preserve">practice5 segments the market according to the following product groups: (i) major  </w:t>
        <w:br/>
        <w:t xml:space="preserve">household appliances; (ii) small household appliances; (iii) cameras / cinema; (iv) hi-fi /  </w:t>
        <w:br/>
        <w:t xml:space="preserve">sound devices; (v) TV / video devices; (vi) computers / peripherals; and (vii) telephony.  </w:t>
        <w:br/>
        <w:t xml:space="preserve">1 Including Cocelec Rhône-Alpes.  </w:t>
        <w:br/>
        <w:t xml:space="preserve">2 Id.  </w:t>
        <w:br/>
        <w:t xml:space="preserve">3 See in particular the opinion of the Competition Council 07-A-06 of July 16, 2007, regarding the acquisition by Cafom of the  </w:t>
        <w:br/>
        <w:t xml:space="preserve">distribution division of Fincar in the home equipment sales sector; the letter from the Minister of Economy, Finance, and Employment  </w:t>
        <w:br/>
        <w:t xml:space="preserve">dated August 31, 2007, to the board of Cafom, regarding a concentration in the home equipment sales sector.  </w:t>
        <w:br/>
        <w:t xml:space="preserve">4 See in particular decision 11-DCC-87 of June 10, 2011, regarding the exclusive control of Media Concorde SNC by High Tech  </w:t>
        <w:br/>
        <w:t xml:space="preserve">Multicanal Group.  </w:t>
        <w:br/>
        <w:t>5 Id.</w:t>
      </w:r>
    </w:p>
    <w:p>
      <w:r>
        <w:t xml:space="preserve">7. Geographically, the competition authorities, without definitively closing the definition of the  </w:t>
        <w:br/>
        <w:t xml:space="preserve">relevant market, have considered markets that are national, European, or even global6.  </w:t>
        <w:br/>
        <w:t xml:space="preserve">8. In this case, the exact definition of the upstream supply markets can be left open insofar as,  </w:t>
        <w:br/>
        <w:t xml:space="preserve">regardless of the segmentation or geographical delimitation chosen, the conclusions of the  </w:t>
        <w:br/>
        <w:t>competitive analysis will remain unchanged.</w:t>
      </w:r>
    </w:p>
    <w:p>
      <w:r>
        <w:t xml:space="preserve">2. WHOLESALE DISTRIBUTION MARKETS FOR HOUSEHOLD APPLIANCES  </w:t>
        <w:br/>
        <w:t xml:space="preserve">9. European decision-making practice has had the opportunity to consider the existence of a  </w:t>
        <w:br/>
        <w:t xml:space="preserve">wholesale distribution market for household appliances7.  </w:t>
        <w:br/>
        <w:t xml:space="preserve">10. The parties suggest segmenting the wholesale distribution of household appliances according to  </w:t>
        <w:br/>
        <w:t xml:space="preserve">several criteria. They first propose to segment the relevant markets based on the following  </w:t>
        <w:br/>
        <w:t xml:space="preserve">product groups: (i) major household appliances; (ii) small household appliances; (iii)  </w:t>
        <w:br/>
        <w:t xml:space="preserve">cameras / cinema; (iv) hi-fi / sound devices; (v) TV / video devices; (vi) computers /  </w:t>
        <w:br/>
        <w:t xml:space="preserve">peripherals; and (vii) telephony. The activities of the parties thus overlap in all the aforementioned  </w:t>
        <w:br/>
        <w:t xml:space="preserve">segments except for the computers / peripherals segment.  </w:t>
        <w:br/>
        <w:t xml:space="preserve">11. The parties have also proposed a segmentation of the markets by distribution channels,  </w:t>
        <w:br/>
        <w:t xml:space="preserve">distinguishing products sold (i) to hypermarkets (GSA), (ii) to supermarkets (GSS), (iii) to  </w:t>
        <w:br/>
        <w:t xml:space="preserve">convenience stores, and (iv) to retailers selling remotely. The parties are primarily present in  </w:t>
        <w:br/>
        <w:t xml:space="preserve">the convenience store segment, and, to a marginal extent, in the wholesale distribution of  </w:t>
        <w:br/>
        <w:t xml:space="preserve">household appliances to the other distribution channels.  </w:t>
        <w:br/>
        <w:t xml:space="preserve">12. Decision-making practice considers that the wholesale distribution markets for household  </w:t>
        <w:br/>
        <w:t xml:space="preserve">appliances are of national, or even regional, dimension8.  </w:t>
        <w:br/>
        <w:t xml:space="preserve">13. In this case, however, the exact definition of the wholesale distribution markets for household  </w:t>
        <w:br/>
        <w:t xml:space="preserve">appliances can be left open insofar as, regardless of the segmentation chosen, the conclusions  </w:t>
        <w:br/>
        <w:t>of the competitive analysis will remain unchanged.</w:t>
      </w:r>
    </w:p>
    <w:p>
      <w:r>
        <w:t xml:space="preserve">3. DOWNSTREAM MARKET FOR THE RETAIL TRADE OF HOUSEHOLD APPLIANCES  </w:t>
        <w:br/>
        <w:t xml:space="preserve">14. Decision-making practice9 considers that the retail markets for household appliances can be  </w:t>
        <w:br/>
        <w:t xml:space="preserve">segmented by product family into white goods (kitchen and household appliances), brown  </w:t>
        <w:br/>
        <w:t xml:space="preserve">(goods related to image and sound), and grey (computing and peripherals). It also considers  </w:t>
        <w:br/>
        <w:t xml:space="preserve">that supermarkets (GSS) face competition from hypermarkets (GSA) and specialized hard  </w:t>
        <w:br/>
        <w:t xml:space="preserve">discount stores.  </w:t>
        <w:br/>
        <w:t xml:space="preserve">15. Geographically, the competition authorities have estimated that the retail markets for  </w:t>
        <w:br/>
        <w:t xml:space="preserve">household appliances correspond to areas covered by a journey lasting 20 to 45 minutes,  </w:t>
        <w:br/>
        <w:t xml:space="preserve">which the consumer is willing to undertake to compare products and prices from one brand to  </w:t>
        <w:br/>
        <w:t xml:space="preserve">another. This duration, however, varies depending on the  </w:t>
        <w:br/>
        <w:t xml:space="preserve">6 See in particular the decision of the Competition Authority 11-DCC-87 cited above, the opinion of the Competition Council 07-A-06  </w:t>
        <w:br/>
        <w:t xml:space="preserve">of July 16, 2007 cited above, the decision of Minister C2006-155 cited above, and the decisions of the Competition Authority 09-DCC-12,  </w:t>
        <w:br/>
        <w:t xml:space="preserve">09-DCC-21, and 09-DCC-62 cited above.  </w:t>
        <w:br/>
        <w:t xml:space="preserve">7 Decision of the European Commission M. 4226, DSGI / Fotovista.  </w:t>
        <w:br/>
        <w:t xml:space="preserve">8 Id.  </w:t>
        <w:br/>
        <w:t>9 See in particular decision 11-DCC-87 of the Competition Authority regarding the exclusive control of Media Concorde SNC by HTM.</w:t>
      </w:r>
    </w:p>
    <w:p>
      <w:r>
        <w:rPr>
          <w:b/>
        </w:rPr>
        <w:t>[Pages 4–5]</w:t>
      </w:r>
    </w:p>
    <w:p>
      <w:r>
        <w:t>size of the store and other characteristics specific to each area, such as geography, population density, or other stores located nearby. It is thus generally considered that a store's catchment area can be limited to that which includes customers representing 80% of the store's turnover or 80% of the store's customers, depending on the available data.</w:t>
      </w:r>
    </w:p>
    <w:p>
      <w:r>
        <w:t>III. Competitive Analysis</w:t>
        <w:br/>
        <w:t>A. ANALYSIS OF HORIZONTAL EFFECTS</w:t>
        <w:br/>
        <w:t>1. UPSTREAM MARKETS FOR THE SUPPLY OF HOUSEHOLD APPLIANCES</w:t>
        <w:br/>
        <w:t>16. The parties will represent a share of less than [0-5]% of the markets for the supply of household appliances at the national level, and less than [0-5]% at the European and global levels, regardless of the segmentation considered. The transaction is therefore not likely to have significant effects on the upstream supply markets.</w:t>
      </w:r>
    </w:p>
    <w:p>
      <w:r>
        <w:t>2. WHOLESALE DISTRIBUTION MARKETS FOR HOUSEHOLD APPLIANCES</w:t>
        <w:br/>
        <w:t>17. At the national level, the parties to the transaction will represent a modest share of the wholesale distribution markets for household appliances.</w:t>
      </w:r>
    </w:p>
    <w:p>
      <w:r>
        <w:t>18. Thus, in the wholesale distribution markets to hypermarkets, supermarkets, and retailers, the cumulative market share of the parties is less than [0-5]% of the market, regardless of the segmentation considered.</w:t>
      </w:r>
    </w:p>
    <w:p>
      <w:r>
        <w:t>19. In the wholesale distribution market for household appliances intended for convenience stores, the parties hold a cumulative market share of [10-20]% in the small household appliances segment, [5-10]% in the large household appliances segment, and [5-10]% in the TV and video equipment segment. The cumulative market share of the parties will be negligible in the hi-fi/sound and camera/cinema segments. The new entity will also face the presence of numerous competitors such as Gpdis, Central pro, Gitem Concerto, and Disposelec.</w:t>
      </w:r>
    </w:p>
    <w:p>
      <w:r>
        <w:t>20. Regionally, the parties provided market shares for regional sets (North-East, North-West, Central-East, South-East, South-West) taking into account a radius of action of each logistics center of approximately 300 km.</w:t>
      </w:r>
    </w:p>
    <w:p>
      <w:r>
        <w:t>21. Thus, in each of the Central-West, South-East, and South-West areas, the parties hold market shares of less than or around [5-10]%, regardless of the segments concerned. In the North-West and Central-East areas, the parties represent less than [5-10]% of the wholesale distribution segments for household appliances to hypermarkets, supermarkets, and distance-selling retailers. They hold a cumulative market share of [10-20]% in the North-West and [5-10]% in the Central-East in the segment of household appliances sold to convenience stores.</w:t>
      </w:r>
    </w:p>
    <w:p>
      <w:r>
        <w:t>22. In light of these elements, the transaction is not likely to harm competition in the wholesale distribution markets for household appliances through horizontal effects.</w:t>
      </w:r>
    </w:p>
    <w:p>
      <w:r>
        <w:t>3. DOWNSTREAM RETAIL MARKET FOR HOUSEHOLD APPLIANCES</w:t>
        <w:br/>
        <w:t>23. The parties are marginally present in a few local retail markets for household appliances: Findis controls two retail stores located in Bégard (22) and Dinan (22), and the Dubost group controls 13 stores located in Auxerre (89), Chalon-sur-Saône (71), Saint-Florentin (89), Arnage (72), Barberey (10), Cormelles le Royal (14), Epinal (88), Montelimar (26), Montereau (77), Reims (51), Saint-Apollinaire (21), and Villimandeur (45).</w:t>
      </w:r>
    </w:p>
    <w:p>
      <w:r>
        <w:t>24. The transaction, which will not result in any geographical overlap between the catchment areas of the parties' stores, is not likely to harm competition in the retail markets through horizontal effects.</w:t>
      </w:r>
    </w:p>
    <w:p>
      <w:r>
        <w:t>B. ANALYSIS OF VERTICAL EFFECTS</w:t>
        <w:br/>
        <w:t>25. The market shares of the new entity in the wholesale markets remain below 30%, a threshold below which the Authority considers that harm to competition is unlikely. Therefore, given the low presence of the parties in the retail markets for household appliances, where they will continue to face competition from numerous significant operators, such as hypermarkets (Auchan, Carrefour, Leclerc, Casino in particular) and supermarkets (Darty, Conforama, But, Boulanger in particular), the transaction is not likely to affect competition through vertical effects.</w:t>
      </w:r>
    </w:p>
    <w:p>
      <w:r>
        <w:t>DECIDES</w:t>
        <w:br/>
        <w:t>Sole Article: The transaction notified under number 11-0210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