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https://www.autoritedelaconcurrence.fr/fr/decision-de-controle-des-concentrations/relative-la-prise-de-controle-exclusif-de-la-societe-dumaje</w:t>
      </w:r>
    </w:p>
    <w:p>
      <w:r>
        <w:t>Pages translated : 2</w:t>
      </w:r>
    </w:p>
    <w:p/>
    <w:p>
      <w:r>
        <w:rPr>
          <w:b/>
        </w:rPr>
        <w:t>[Pages 1–2]</w:t>
      </w:r>
    </w:p>
    <w:p>
      <w:r>
        <w:t xml:space="preserve">FRENCH REPUBLIC  </w:t>
        <w:br/>
        <w:t xml:space="preserve">Decision No. 18-DCC-173 of October 18, 2018  </w:t>
        <w:br/>
        <w:t xml:space="preserve">regarding the exclusive control acquisition of the company Dumaje by the  </w:t>
        <w:br/>
        <w:t xml:space="preserve">company ITM Alimentaire Sud Ouest  </w:t>
        <w:br/>
        <w:t xml:space="preserve">The Competition Authority,  </w:t>
        <w:br/>
        <w:t xml:space="preserve">Having regard to the complete notification file submitted to the mergers department on September 19,  </w:t>
        <w:br/>
        <w:t xml:space="preserve">2018, concerning the exclusive control acquisition of the company Dumaje by the company ITM Alimentaire  </w:t>
        <w:br/>
        <w:t xml:space="preserve">Sud Ouest, and formalized by a share transfer agreement dated September 14, 2018;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ITM Alimentaire Sud  </w:t>
        <w:br/>
        <w:t xml:space="preserve">Ouest of the company Dumaje, which operates a food-dominant retail outlet of supermarket type with a surface area of 2,000 m², under the Intermarché brand, located in Mont-de-Marsan (40). It constitutes a concentration operation within the meaning of Article L. 430-1 of the Commercial Code. Given the turnover achieved by the concerned companies,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18-209 is authorized.  </w:t>
        <w:br/>
        <w:t xml:space="preserve">The Vice-President,  </w:t>
        <w:br/>
        <w:t xml:space="preserve">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