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https://www.autoritedelaconcurrence.fr/fr/decision-de-controle-des-concentrations/relative-la-prise-de-controle-exclusif-de-la-societe-dumel</w:t>
      </w:r>
    </w:p>
    <w:p>
      <w:r>
        <w:t>Pages translated : 5</w:t>
      </w:r>
    </w:p>
    <w:p/>
    <w:p>
      <w:r>
        <w:rPr>
          <w:b/>
        </w:rPr>
        <w:t>[Pages 1–3]</w:t>
      </w:r>
    </w:p>
    <w:p>
      <w:r>
        <w:t xml:space="preserve">FRENCH REPUBLIC  </w:t>
        <w:br/>
        <w:t xml:space="preserve">Decision No. 17-DCC-96 of June 30, 2017  </w:t>
        <w:br/>
        <w:t xml:space="preserve">regarding the exclusive control of the company Dumel by the company  </w:t>
        <w:br/>
        <w:t xml:space="preserve">ITM Alimentaire Région Parisienne  </w:t>
        <w:br/>
        <w:t xml:space="preserve">The Competition Authority,  </w:t>
        <w:br/>
        <w:t xml:space="preserve">Having regard to the notification file submitted in full to the merger service on May 26, 2017,  </w:t>
        <w:br/>
        <w:t xml:space="preserve">regarding the exclusive control of the company Dumel by the company ITM Alimentaire Région  </w:t>
        <w:br/>
        <w:t xml:space="preserve">Parisienne, formalized by a letter of intent dated May 12,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companies concerned and the operation  </w:t>
        <w:br/>
        <w:t>1. ITM Alimentaire Région Parisienne is a French law company wholly owned by ITM Alimentaire International, which is itself wholly owned by ITM Entreprises. It manages and develops in the Paris region the network of franchisees operating stores under the food brands Intermarché and Netto. ITM Entreprises, a company wholly controlled by the civil company of Mousquetaires, which is itself owned by more than […] natural persons known as "associated members" and one legal entity, leads and animates the network of independent merchants known as the "Groupement des Mousquetaires." As a franchisor, ITM Entreprises' main activity is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w:t>
      </w:r>
    </w:p>
    <w:p>
      <w:r>
        <w:t xml:space="preserve">2. The company Dumel, majority-owned by the Dubus group, operates a retail outlet primarily focused on food products with a surface area of 2,900 m², under the Leclerc brand, located in the town of Gournay-en-Bray (76).  </w:t>
        <w:br/>
        <w:t xml:space="preserve">3. Upon completion of the transaction, the target business will be operated under the Intermarché brand and the capital of the target company will be entirely owned by ITM Alimentaire Région Parisienne. The execution of the notified project will result in the exclusive control of the company Dumel by ITM Alimentaire Région Parisienne and thus constitutes a concentration within the meaning of Article L. 430-1 of the Commercial Code.  </w:t>
        <w:br/>
        <w:t xml:space="preserve">4. The companies involved operate several retail stores and together achieve a total turnover excluding taxes on a global scale of more than 75 million euros (ITM Entreprises: […] euros for the fiscal year ending December 31, 2016; Dumel: […] euros for the same fiscal year). Each of them has achieved in France in the retail sector a turnover exceeding 15 million euros (ITM Entreprises: […] euros for the fiscal year ending December 31, 2015; Dumel: […] euros for the fiscal year ending December 31, 2016). Given these turnover figures, the operation does not fall under the jurisdiction of the European Union.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5. According to the consistent practice of national and European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A. DOWNSTREAM MARKETS OF DISTRIBUTION  </w:t>
        <w:br/>
        <w:t xml:space="preserve">1. SERVICE MARKETS  </w:t>
        <w:br/>
        <w:t xml:space="preserve">6. Regarding the retail sale of everyday consumer goods, both European and national competition authorities have distinguished six categories of commerce using several criteria, including the size of the stores, their sales techniques, their accessibility, the nature of the service provided, and the range of products offered: (i) hypermarkets, (ii) supermarkets, (iii) specialized retail, (iv) small retail businesses, (v) discount stores, and (vi) mail-order sales.  </w:t>
        <w:br/>
        <w:t xml:space="preserve">7.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It should be noted, however, that these thresholds should be used with caution and may be adapted to the specific case, as stores whose area is close to a threshold (below or above) may be in direct competition.  </w:t>
        <w:br/>
        <w:t xml:space="preserve">8. Competition authorities also consider that, while each category of store retains its specificity, there is asymmetric competition between certain of these categories. Indeed, a hypermarket may be commonly used by some consumers as a convenience store, substituting for a supermarket. Conversely, the reverse is almost never verified, and it is even less so as the size of the hypermarket in question is significant. Consequently, if the target store is a hypermarket, the analysis is conducted on a market including only hypermarkets, on the one hand, and on a market including supermarkets and equivalent forms of commerce (hypermarkets, hard discount, and popular stores) excluding small retail businesses (less than 400 m²), on the other hand. If the target store is a supermarket, the analysis is conducted only on the second type of market mentioned above.  </w:t>
        <w:br/>
        <w:t xml:space="preserve">9. In this case, the target business has a surface area of 2,900 m². It therefore falls into the category of hypermarkets.  </w:t>
        <w:br/>
        <w:t xml:space="preserve">2. GEOGRAPHICAL DELIMITATION  </w:t>
        <w:br/>
        <w:t xml:space="preserve">10. The Competition Authority usually distinguishes two types of markets, based on catchment areas:  </w:t>
        <w:br/>
        <w:t xml:space="preserve">- a first market where the demand from consumers in an area meets the supply of hypermarkets to which they have access within less than 30 minutes of travel by car and which are, from their perspective, substitutable for each other;  </w:t>
        <w:br/>
        <w:t>- a second market where the demand from consumers meets the supply of supermarkets and equivalent forms of commerce, located within less than 15 minutes of travel by car. These latter forms of commerce may</w:t>
      </w:r>
    </w:p>
    <w:p>
      <w:r>
        <w:rPr>
          <w:b/>
        </w:rPr>
        <w:t>[Pages 4–5]</w:t>
      </w:r>
    </w:p>
    <w:p>
      <w:r>
        <w:t xml:space="preserve">include, in addition to supermarkets, hypermarkets located near consumers and discount stores.  </w:t>
        <w:br/>
        <w:t xml:space="preserve">11. Other criteria may nevertheless be considered to assess the impact of a concentration on the competitive situation in retail distribution markets, which may lead to refining the usual boundaries presented above.  </w:t>
        <w:br/>
        <w:t xml:space="preserve">12. In the case at hand, the target business falls into the category of hypermarkets, and the competitive analysis will be conducted on a market including hypermarkets, supermarkets, and equivalent forms of commerce located within a 15-minute drive from the target company's point of sale, as well as on a market including hypermarkets located within a 30-minute drive.  </w:t>
        <w:br/>
        <w:t xml:space="preserve">B. UPSTREAM SUPPLY MARKETS  </w:t>
        <w:br/>
        <w:t xml:space="preserve">13. Regarding supply markets, the European Commission and national competition authorities have recognized the existence of markets of national dimension by major product groups.  </w:t>
        <w:br/>
        <w:t xml:space="preserve">14. There is no reason to challenge this delimitation in the context of the present operation.  </w:t>
        <w:br/>
        <w:t xml:space="preserve">III. Competitive Analysis  </w:t>
        <w:br/>
        <w:t xml:space="preserve">15. In the downstream markets of food distribution, the target store will be the only store under the Intermarché brand following the operation, regardless of the catchment area examined (15 minutes or 30 minutes of driving around the target store located in Gournay-en-Bray). Therefore, the operation does not result in any overlap of activity between the parties in this market.  </w:t>
        <w:br/>
        <w:t xml:space="preserve">16. In the upstream supply markets, the operation, which concerns the change of control of a single store under a competing brand, is not likely to significantly strengthen the purchasing power of the ITM Entreprises group, across all products, as well as by major product groups.  </w:t>
        <w:br/>
        <w:t xml:space="preserve">17. Consequently, the operation is not likely to harm competition in the markets concerned.  </w:t>
        <w:br/>
        <w:t xml:space="preserve">DECIDES  </w:t>
        <w:br/>
        <w:t xml:space="preserve">Sole Article: The operation notified under number 17-111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