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https://www.autoritedelaconcurrence.fr/fr/decision-de-controle-des-concentrations/relative-la-prise-de-controle-exclusif-de-la-societe-duo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24-DCC-170 of August 1, 2024  </w:t>
        <w:br/>
        <w:t xml:space="preserve">regarding the exclusive control acquisition of Duo-Med by  </w:t>
        <w:br/>
        <w:t xml:space="preserve">Palex  </w:t>
        <w:br/>
        <w:t xml:space="preserve">The Competition Authority,  </w:t>
        <w:br/>
        <w:t xml:space="preserve">Having regard to the complete notification file submitted to the mergers department on July 17, 2024,  </w:t>
        <w:br/>
        <w:t xml:space="preserve">concerning the exclusive control acquisition of Duo-Med by Palex formalized by  </w:t>
        <w:br/>
        <w:t xml:space="preserve">a share purchase agreement signed on May 28,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Pique Bidco S.L.U ("Palex"), via  </w:t>
        <w:br/>
        <w:t xml:space="preserve">Hermes Acquireco B.V., of the entire share capital of Duo-Med  </w:t>
        <w:br/>
        <w:t xml:space="preserve">Investments B.V., which is active in the sector of the distribution of medical equipment and  </w:t>
        <w:br/>
        <w:t xml:space="preserve">supplies. It constitutes a concentration operation within the meaning of Article 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24-153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