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https://www.autoritedelaconcurrence.fr/fr/decision-de-controle-des-concentrations/relative-la-prise-de-controle-exclusif-de-la-societe-early</w:t>
      </w:r>
    </w:p>
    <w:p>
      <w:r>
        <w:t>Pages translated : 2</w:t>
      </w:r>
    </w:p>
    <w:p/>
    <w:p>
      <w:r>
        <w:rPr>
          <w:b/>
        </w:rPr>
        <w:t>[Pages 1–2]</w:t>
      </w:r>
    </w:p>
    <w:p>
      <w:r>
        <w:t xml:space="preserve">FRENCH REPUBLIC  </w:t>
        <w:br/>
        <w:t xml:space="preserve">Decision No. 22-DCC-188 of October 20, 2022  </w:t>
        <w:br/>
        <w:t xml:space="preserve">regarding the exclusive control acquisition of the company Early Makers Group by the Galileo Global Education group  </w:t>
        <w:br/>
        <w:t xml:space="preserve">The Competition Authority,  </w:t>
        <w:br/>
        <w:t xml:space="preserve">Having regard to the complete notification file sent to the mergers department on September 22, 2022, concerning the exclusive control acquisition of the company Early Makers Group by the Galileo Global Education group, through the company EMSponsors, formalized by a unilateral promise to purchase the shares of the company Early Makers Group dated July 28,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Galileo Global Education group of the company Early Makers Group, active in the private higher education sector.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22-195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