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https://www.autoritedelaconcurrence.fr/fr/decision-de-controle-des-concentrations/relative-la-prise-de-controle-exclusif-de-la-societe-ebp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24-DCC-123 of June 13, 2024  </w:t>
        <w:br/>
        <w:t xml:space="preserve">regarding the exclusive control acquisition of the company EBP Informatique  </w:t>
        <w:br/>
        <w:t>by Silver Lake Group</w:t>
      </w:r>
    </w:p>
    <w:p>
      <w:r>
        <w:t>The Competition Authority,</w:t>
      </w:r>
    </w:p>
    <w:p>
      <w:r>
        <w:t xml:space="preserve">Having regard to the complete notification file sent to the mergers department on May 24, 2024,  </w:t>
        <w:br/>
        <w:t xml:space="preserve">concerning the exclusive control acquisition of the company EBP Informatique by the company Silver Lake  </w:t>
        <w:br/>
        <w:t xml:space="preserve">Group, via the company Cegid, formalized by a unilateral purchase promise dated April 21, 2024;  </w:t>
        <w:br/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the company Silver Lake Group,  </w:t>
        <w:br/>
        <w:t xml:space="preserve">via the company Cegid, of the company EBP Informatique, active in the sectors of enterprise application software  </w:t>
        <w:br/>
        <w:t xml:space="preserve">and comprehensive cash solutions. The operation constitutes a concentration within the meaning of Article L. 430-1 of the Commercial Code.  </w:t>
        <w:br/>
        <w:t xml:space="preserve">Given the revenues generated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>of Articles L. 430-3 and following of the 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24-119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