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https://www.autoritedelaconcurrence.fr/fr/decision-de-controle-des-concentrations/relative-la-prise-de-controle-exclusif-de-la-societe-ecf</w:t>
      </w:r>
    </w:p>
    <w:p>
      <w:r>
        <w:t>Pages translated : 4</w:t>
      </w:r>
    </w:p>
    <w:p/>
    <w:p>
      <w:r>
        <w:rPr>
          <w:b/>
        </w:rPr>
        <w:t>[Pages 1–3]</w:t>
      </w:r>
    </w:p>
    <w:p>
      <w:r>
        <w:t xml:space="preserve">FRENCH REPUBLIC  </w:t>
        <w:br/>
        <w:t xml:space="preserve">Decision No. 11-DCC-94 of June 10, 2011  </w:t>
        <w:br/>
        <w:t xml:space="preserve">regarding the exclusive control of the company ECF by the company  </w:t>
        <w:br/>
        <w:t>Weinberg Capital Partners</w:t>
      </w:r>
    </w:p>
    <w:p>
      <w:r>
        <w:t xml:space="preserve">The Competition Authority,  </w:t>
        <w:br/>
        <w:t xml:space="preserve">Having regard to the notification file sent to the merger service on May 5, 2011, and declared complete on May 12, 2011, concerning the acquisition of the company ECF by the company Weinberg Capital Partners, formalized by a share purchase agreement dated April 29, 2011;  </w:t>
        <w:br/>
        <w:t xml:space="preserve">Having regard to Book IV of the Commercial Code relating to the freedom of prices and competition, and in particular its Articles L. 430-1 to L. 430-10;  </w:t>
        <w:br/>
        <w:t xml:space="preserve">Having regard to the supplementary elements transmitted by the parties during the investigation;  </w:t>
        <w:br/>
        <w:t>Adopts the following decision:</w:t>
      </w:r>
    </w:p>
    <w:p>
      <w:r>
        <w:t xml:space="preserve">I. The concerned companies and the operation  </w:t>
        <w:br/>
        <w:t xml:space="preserve">1. Weinberg Capital Partners SAS (hereinafter "Weinberg"), active in the private equity sector, [Confidential]. It is approved by the AMF. Weinberg manages the venture capital fund WCP#1 and holds exclusive control over companies active in various sectors (distribution of parts for heavy goods vehicles, rental of industrial vehicles, design and manufacture of hip and knee prostheses, distribution of construction materials, pharmacy). It also holds the company SAS Industrie (hereinafter "SASA"), active in the design and marketing of cooking equipment intended for professionals in the bakery-pastry sector.  </w:t>
        <w:br/>
        <w:t xml:space="preserve">2. ECF is active in the distribution of small equipment and non-food consumables to professionals in the catering industry. ECF is 87.58% owned by the holding company EF Logistique SAS (hereinafter "EFL"), 9.37% by Financière Groupe Ecotel, with the remaining 3.04% held by individuals. ECF has six subsidiaries in France and five subsidiaries in Belgium, Luxembourg, Italy, and the United Arab Emirates.  </w:t>
        <w:br/>
        <w:t xml:space="preserve">3. Under a share purchase agreement dated April 29, 2011, the operation consists of the acquisition by Weinberg, through the company Newco, of 98.9% of the capital and voting rights of ECF, on the one hand indirectly, through the acquisition of 100% of the capital of EFL, and on the other hand directly through the acquisition of 11.3% of the capital and voting rights of ECF. The remaining capital of ECF will be distributed among the company Financière Ecotel, certain senior executives of the group, and a few financial partners. The minority shareholders do not hold any advantages exceeding those usually conferred to minority shareholders for the protection of their financial interests. Weinberg will hold exclusive control over ECF.  </w:t>
        <w:br/>
        <w:t xml:space="preserve">4. As it results in the exclusive control of ECF by Weinberg, the notified operation constitutes a concentration within the meaning of Article L. 430-1 of the Commercial Code.  </w:t>
        <w:br/>
        <w:t>5. The companies concerned together achieve a total worldwide turnover of more than 150 million euros (Weinberg Capital: […] million euros; ECF: […] million euros) and achieve a turnover in France exceeding 50 million euros (Weinberg Capital: […] million euros; ECF: […] million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6. ECF is active in the distribution of small equipment and consumables for professionals in the out-of-home catering sector, particularly independent commercial catering, restaurant chains, and collective catering. It offers its clients a range of products in tableware as well as cleaning, cooking, and various non-food consumables. Weinberg is present, through its subsidiary SASA, in the production and distribution of non-stick cooking supports intended for bakeries and pastry shops.</w:t>
      </w:r>
    </w:p>
    <w:p>
      <w:r>
        <w:t xml:space="preserve">A. DELIMITATION OF MARKETS IN TERMS OF PRODUCTS AND SERVICES  </w:t>
        <w:br/>
        <w:t xml:space="preserve">7. In this case, the products concerned by this operation are the production and sale of small kitchen instruments such as pots, pans, and molds to professional clients (wholesale distributors or end clients). To date, the decision-making practice has not ruled on the delimitation of such a market. However, the minister has ruled on the delimitation of the neighboring market of professional kitchen equipment (refrigerators, ovens, cooking plates…). In these decisions, the minister had considered distinguishing the sub-markets (i) of the manufacturing of professional kitchen equipment and that of installation, distribution, and after-sales service, (ii) of professional kitchen equipment and that of professional bakery-pastry equipment, (iii) based on the use of the products (cooking, refrigeration, laundry, etc.).  </w:t>
        <w:br/>
        <w:t>1 Letters from the Minister of Economy C2006-135 of December 2, 2006, and C2007-157 of December 12, 2007</w:t>
      </w:r>
    </w:p>
    <w:p>
      <w:r>
        <w:t xml:space="preserve">8. In this case, if segmentation based on manufacturing and installation is not relevant, it would be conceivable to proceed with segmentation based on the use of the products and to distinguish between products intended for collective catering and those intended for bakery and pastry.  </w:t>
        <w:br/>
        <w:t>9. In any event, since the conclusions of the competitive analysis remain unchanged regardless of the segmentation chosen, it is not necessary to resolve the question of the exact market delineation in question.</w:t>
      </w:r>
    </w:p>
    <w:p>
      <w:r>
        <w:t xml:space="preserve">B. GEOGRAPHICAL DELIMITATION OF MARKETS  </w:t>
        <w:br/>
        <w:t xml:space="preserve">10. In decisions related to kitchen equipment markets, the minister, while leaving the question open, had considered a market of national or even community dimension.  </w:t>
        <w:br/>
        <w:t>11. It is not necessary to rule in this case on the exact delineation of the market, as the conclusions of the competitive analysis remain unchanged regardless of the segmentation chosen.</w:t>
      </w:r>
    </w:p>
    <w:p>
      <w:r>
        <w:t xml:space="preserve">III. Competitive analysis  </w:t>
        <w:br/>
        <w:t xml:space="preserve">12. In the overall market for small kitchen equipment, the parties have not been able to provide their market share with precision, but it will remain in any case below 10%.  </w:t>
        <w:br/>
        <w:t xml:space="preserve">13. If we consider a segmentation based on the use of the products, the market shares of the parties will not exceed 25%:  </w:t>
        <w:br/>
        <w:t xml:space="preserve">ECF Weinberg New entity  </w:t>
        <w:br/>
        <w:t xml:space="preserve">France EU France EU France EU  </w:t>
        <w:br/>
        <w:t xml:space="preserve">Cooking segment [10-20]% [0-5]% [10-20]% [0-5]% [20-30]% [5-10]%  </w:t>
        <w:br/>
        <w:t xml:space="preserve">Storage segment [5-10]% [0-5]% [10-20]% [5-10]% [20-30]% [10-20]%  </w:t>
        <w:br/>
        <w:t xml:space="preserve">Mechanical preparation segment [10-20]% [0-5]% - - [10-20]% [0-5]%  </w:t>
        <w:br/>
        <w:t xml:space="preserve">14. Furthermore, the parties will face numerous competitors, including Metro, which holds market shares between 11 and 25% depending on the segments.  </w:t>
        <w:br/>
        <w:t xml:space="preserve">15. If we segment between the markets for products intended for collective catering and those intended for bakery and pastry, the operation does not result in any overlap of activity, as ECF is not present in the latter segment.  </w:t>
        <w:br/>
        <w:t>16. Therefore, the operation is not likely to harm competition, regardless of the segmentation considered.</w:t>
      </w:r>
    </w:p>
    <w:p>
      <w:r>
        <w:rPr>
          <w:b/>
        </w:rPr>
        <w:t>[Pages 4–4]</w:t>
      </w:r>
    </w:p>
    <w:p>
      <w:r>
        <w:t>DECIDES</w:t>
      </w:r>
    </w:p>
    <w:p>
      <w:r>
        <w:t>Sole Article: The operation notified under number 11-0075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