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https://www.autoritedelaconcurrence.fr/fr/decision-de-controle-des-concentrations/relative-la-prise-de-controle-exclusif-de-la-societe-edelis</w:t>
      </w:r>
    </w:p>
    <w:p>
      <w:r>
        <w:t>Pages translated : 2</w:t>
      </w:r>
    </w:p>
    <w:p/>
    <w:p>
      <w:r>
        <w:rPr>
          <w:b/>
        </w:rPr>
        <w:t>[Pages 1–2]</w:t>
      </w:r>
    </w:p>
    <w:p>
      <w:r>
        <w:t xml:space="preserve">FRENCH REPUBLIC  </w:t>
        <w:br/>
        <w:t xml:space="preserve">Decision No. 17-DCC-129 of August 10, 2017  </w:t>
        <w:br/>
        <w:t xml:space="preserve">regarding the exclusive control acquisition of the company Edelis by the GCC group  </w:t>
        <w:br/>
        <w:t xml:space="preserve">The Competition Authority,  </w:t>
        <w:br/>
        <w:t xml:space="preserve">Having regard to the complete notification file sent to the mergers department on July 26, 2017,  </w:t>
        <w:br/>
        <w:t xml:space="preserve">concerning the exclusive control acquisition of the company Edelis by the GCC group, formalized by a  </w:t>
        <w:br/>
        <w:t xml:space="preserve">firm offer letter dated July 4, 2017;  </w:t>
        <w:br/>
        <w:t xml:space="preserve">Having regard to Book IV of the Commercial Code relating to the freedom of prices and competition, and  </w:t>
        <w:br/>
        <w:t xml:space="preserve">notably its Articles L. 430-1 to L. 430-7;  </w:t>
        <w:br/>
        <w:t xml:space="preserve">Having regard to the additional elements provided by the parties during the investigation;  </w:t>
        <w:br/>
        <w:t xml:space="preserve">Adopts the following decision:  </w:t>
        <w:br/>
        <w:t xml:space="preserve">1. The notified operation consists of the exclusive control acquisition by the GCC group of the company  </w:t>
        <w:br/>
        <w:t xml:space="preserve">Edelis, which is active in the real estate development sector (collective residential housing). It constitutes a concentration operation within the meaning of Article L. 430-1 of the Commercial Code. Given the revenues generated by the companies involved,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consistently defined by decision-making practice. GCC is active in the markets of civil engineering, structural work, climate engineering, mechanical engineering in industrial environments, electrical engineering, multi-technical management and maintenance, and waterproofing works. The company Edelis, for its part, is active in the real estate development markets.  </w:t>
        <w:br/>
        <w:t xml:space="preserve">3. The parties are not simultaneously present in the same markets, but their activities have links of connectivity. Regardless of the segmentations retained, the respective market shares of the parties remain below 5% across all markets in which they are present.  </w:t>
        <w:br/>
        <w:t>4. Given the elements of the file and point 384 of the guidelines of the Competition Authority relating to the control of concentrations, the operation is not likely to harm competition.</w:t>
      </w:r>
    </w:p>
    <w:p>
      <w:r>
        <w:t xml:space="preserve">DECIDES  </w:t>
        <w:br/>
        <w:t xml:space="preserve">Sole Article: The operation notified under number 17-133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