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https://www.autoritedelaconcurrence.fr/fr/decision-de-controle-des-concentrations/relative-la-prise-de-controle-exclusif-de-la-societe-egis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21-DCC-206 of November 19, 2021</w:t>
        <w:br/>
        <w:t>regarding the exclusive control acquisition of the company Egis by the group</w:t>
        <w:br/>
        <w:t>Tikehau Capital</w:t>
        <w:br/>
        <w:t>The Competition Authority,</w:t>
        <w:br/>
        <w:t>Having regard to the complete notification file sent to the mergers department on November 3, 2021,</w:t>
        <w:br/>
        <w:t>concerning the exclusive control acquisition of the company Egis by the group Tikehau Capital, via the</w:t>
        <w:br/>
        <w:t>management company Tikehau Investment Management, formalized by a share transfer and acquisition contract dated October 27,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group Tikehau Capital of</w:t>
        <w:br/>
        <w:t>the company Egis, active in the field of engineering and technical studies and also in</w:t>
        <w:br/>
        <w:t>the operation and maintenance of road and airport infrastructures. It constitutes a</w:t>
        <w:br/>
        <w:t>concentration operation within the meaning of Article L. 430-1 of the Commercial Code. Given the</w:t>
        <w:br/>
        <w:t>turnover achieved by the concerned companies, the operation does not fall under the</w:t>
        <w:br/>
        <w:t>competence of the European Union. On the other hand, the control thresholds mentioned in 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21-231 is authorized.</w:t>
        <w:br/>
        <w:t>The interim 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