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https://www.autoritedelaconcurrence.fr/fr/decision-de-controle-des-concentrations/relative-la-prise-de-controle-exclusif-de-la-societe-elivia</w:t>
      </w:r>
    </w:p>
    <w:p>
      <w:r>
        <w:t>Pages translated : 2</w:t>
      </w:r>
    </w:p>
    <w:p/>
    <w:p>
      <w:r>
        <w:rPr>
          <w:b/>
        </w:rPr>
        <w:t>[Pages 1–2]</w:t>
      </w:r>
    </w:p>
    <w:p>
      <w:r>
        <w:t xml:space="preserve">FRENCH REPUBLIC  </w:t>
        <w:br/>
        <w:t xml:space="preserve">Decision No. 23-DCC-153 of August 7, 2023  </w:t>
        <w:br/>
        <w:t xml:space="preserve">regarding the exclusive control acquisition of the company Elivia by  </w:t>
        <w:br/>
        <w:t xml:space="preserve">the company Terrena  </w:t>
        <w:br/>
        <w:t xml:space="preserve">The Competition Authority,  </w:t>
        <w:br/>
        <w:t xml:space="preserve">Having regard to the complete notification file sent to the mergers department on July 18, 2023  </w:t>
        <w:br/>
        <w:t xml:space="preserve">concerning the exclusive control acquisition of the company Elivia by the company Terrena, formalized by  </w:t>
        <w:br/>
        <w:t xml:space="preserve">a transactional agreement dated June 4,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Terrena of the company  </w:t>
        <w:br/>
        <w:t xml:space="preserve">Elivia, both active in the sector of slaughtering, processing, and marketing of meat. The notified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23-188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