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https://www.autoritedelaconcurrence.fr/fr/decision-de-controle-des-concentrations/relative-la-prise-de-controle-exclusif-de-la-societe-embarq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25-DCC-79 of April 7, 2025</w:t>
        <w:br/>
        <w:t>regarding the exclusive control acquisition of the company Embarq by the</w:t>
        <w:br/>
        <w:t>Proman group</w:t>
        <w:br/>
        <w:t>The Competition Authority,</w:t>
        <w:br/>
        <w:t>Having regard to the complete notification file submitted to the mergers department on March 4, 2025,</w:t>
        <w:br/>
        <w:t>concerning the exclusive control acquisition of the Proman group by the company Embarq, formalized by</w:t>
        <w:br/>
        <w:t>a letter of intent dated October 16, 2024, and the minutes of the general meeting of the company</w:t>
        <w:br/>
        <w:t>Proman Expansion on February 28,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transaction consists of the acquisition by the Proman group of 70.05% of the shares of the</w:t>
        <w:br/>
        <w:t>company Embarq. The parties are active in the sector of providing wage portage services. This transaction constitutes a concentration within the meaning of Article L. 430-1 of the Commercial Code. Given the revenues generated by the companies involved, the transaction does not fall under the jurisdiction of the European Union. However, the control thresholds mentioned in I of Article L. 430-2 of the Commercial Code are exceeded. This transaction is therefore subject to the provisions of Articles L. 430-3 and following of the Commercial Code relating to economic concentration.</w:t>
        <w:br/>
        <w:t>2. In light of the elements of the file, the transaction is not likely to harm competition in the relevant markets.</w:t>
      </w:r>
    </w:p>
    <w:p>
      <w:r>
        <w:t>DECIDES</w:t>
        <w:br/>
        <w:t>Sole Article: The notified transaction under number 25-062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