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https://www.autoritedelaconcurrence.fr/fr/decision-de-controle-des-concentrations/relative-la-prise-de-controle-exclusif-de-la-societe-endel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22-DCC-13 of February 2, 2022  </w:t>
        <w:br/>
        <w:t xml:space="preserve">regarding the exclusive control acquisition of the company Endel  </w:t>
        <w:br/>
        <w:t xml:space="preserve">by the Altrad group  </w:t>
        <w:br/>
        <w:t xml:space="preserve">The Competition Authority,  </w:t>
        <w:br/>
        <w:t xml:space="preserve">Having regard to the complete notification file submitted to the mergers department on January 12, 2022,  </w:t>
        <w:br/>
        <w:t xml:space="preserve">concerning the exclusive control acquisition of the company Endel by the Altrad group, materialized by  </w:t>
        <w:br/>
        <w:t xml:space="preserve">a unilateral purchase promise dated August 27,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Endel by the company  </w:t>
        <w:br/>
        <w:t xml:space="preserve">Altrad Investment Authority, the parent company of the Altrad group, both active in the services sector in the  </w:t>
        <w:br/>
        <w:t xml:space="preserve">industry. It constitutes a concentration operation within the meaning of Article L. 430-1 of the Commercial Code.  </w:t>
        <w:br/>
        <w:t xml:space="preserve">Given the turnover achieved by the companies concerned, the operation does not fall under the jurisdiction of the  </w:t>
        <w:br/>
        <w:t xml:space="preserve">European Union. On the other hand, the control thresholds mentioned in point I of Article L. 430-2 of the  </w:t>
        <w:br/>
        <w:t xml:space="preserve">Commercial Code are exceeded. This operation is therefore subject to the provisions of Articles L. 430-3 and  </w:t>
        <w:br/>
        <w:t xml:space="preserve">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21-230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