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https://www.autoritedelaconcurrence.fr/fr/decision-de-controle-des-concentrations/relative-la-prise-de-controle-exclusif-de-la-societe-enel</w:t>
      </w:r>
    </w:p>
    <w:p>
      <w:r>
        <w:t>Pages translated : 4</w:t>
      </w:r>
    </w:p>
    <w:p/>
    <w:p>
      <w:r>
        <w:rPr>
          <w:b/>
        </w:rPr>
        <w:t>[Pages 1–3]</w:t>
      </w:r>
    </w:p>
    <w:p>
      <w:r>
        <w:t>FRENCH REPUBLIC</w:t>
        <w:br/>
        <w:t>Decision No. 16-DCC-153 of October 20, 2016</w:t>
        <w:br/>
        <w:t>regarding the exclusive control of the company Enel France by the</w:t>
        <w:br/>
        <w:t>company Energies Libres</w:t>
        <w:br/>
        <w:t>The Competition Authority,</w:t>
        <w:br/>
        <w:t>Having regard to the notification file submitted in full to the merger service on September 21, 2016, regarding the exclusive control of the company Enel France by the company Energies Libres, formalized by an acquisition contract dated September 16,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companies concerned and the operation</w:t>
        <w:br/>
        <w:t>1. Energies Libres is a company wholly owned by Quadran SAS, which is itself controlled by Lucia Holding. [confidential]. Energies Libres is primarily active in the electricity supply sector in France, targeting non-residential customers. The Quadran group, to which Energies Libres belongs, is a producer of green energy and electricity. The group is primarily active in France in the wholesale electricity production and sales market, through its subsidiaries active in wind, photovoltaic, hydraulic, biogas, and biomass. The Quadran Group is present across the entire electricity production chain: site identification, design, development, construction, operation of plants, and site reconfiguration. The Quadran group also operates in the retail electricity supply market for small non-residential sites in France.</w:t>
        <w:br/>
        <w:t>2. Enel France is a company wholly owned by Enel Investment Holding BV, a subsidiary of the listed company Enel SPA. Enel SPA is a multinational energy company and one of the main integrated operators in the energy and gas markets, particularly in Europe and Latin America. Enel France is an alternative electricity supplier present in France since 2005 and specializes in supplying electricity to professionals. It is active in the retail electricity supply markets for medium and large non-residential sites.</w:t>
        <w:br/>
        <w:t>3. Under the acquisition contract concluded on September 16, 2016, the operation involves the acquisition by the Quadran group, through Energies Libres, of 100% of the shares of Enel France.</w:t>
        <w:br/>
        <w:t>4. As it results in the exclusive control of the company Enel France by the company Energies Libres, the notified operation constitutes a concentration within the meaning of Article L. 430-1 of the Commercial Code.</w:t>
        <w:br/>
        <w:t>5. The companies concerned together achieve a total worldwide turnover excluding tax of more than 150 million euros (Quadran group: 89.6 million euros for the fiscal year ending December 31, 2015; Enel France: 240.8 million euros for the same fiscal year). Each of these companies has achieved a turnover in France exceeding 50 million euros (Quadran group: 89.6 million euros for the fiscal year ending December 31, 2015; Enel France: 207.8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A. MARKET FOR THE PRODUCTION AND WHOLESALE SALE OF ELECTRICITY</w:t>
        <w:br/>
        <w:t>1. PRODUCT MARKETS</w:t>
        <w:br/>
        <w:t>6. Decision-making practice1 has established the existence of a market for the production and wholesale sale of electricity, these two activities forming a single market. This market includes domestic electricity production as well as electricity physically imported via interconnections for resale to retailers, traders, and, to a lesser extent, large industrial end consumers.</w:t>
        <w:br/>
        <w:t>7. On the supply side, market players include electricity producers, importers, and traders.</w:t>
        <w:br/>
        <w:t>2. GEOGRAPHICAL MARKET</w:t>
        <w:br/>
        <w:t>8. Decision-making practice considers the market for production and wholesale sale as being of national dimension, notably due to the weakness of interconnections between neighboring states2.</w:t>
        <w:br/>
        <w:t>1 Decision COMP/M.4180 Gaz de France/Suez and decision of the Competition Authority No. 09-DCC-28 of July 30, 2009, regarding the exclusive control of the company Poweo by the company Österreichische Elektrizitätswirtschafts-Aktiengesellschaft.</w:t>
        <w:br/>
        <w:t>2 Decision COMP/M.7137, EDF/Dalkia in France cited, points 35 to 39.</w:t>
      </w:r>
    </w:p>
    <w:p>
      <w:r>
        <w:t>B. THE RETAIL ELECTRICITY SUPPLY MARKET</w:t>
        <w:br/>
        <w:t>1. PRODUCT MARKETS</w:t>
        <w:br/>
        <w:t>9. Decision-making practice3 has delineated several customer segments in France based on annual consumption (GWh) and the power supported by the network connection (kVA): (i) large industrial clients whose annual consumption exceeds 7 GWh, (ii) small industrial and commercial clients whose annual consumption is less than 7 GWh but have a connection power exceeding 36 kVA, (iii) small professional clients with a connection power below 36 kVA.</w:t>
        <w:br/>
        <w:t>10. Decision-making practice has also considered an alternative distinction. Indeed, the CRE distinguishes clientele in the electricity market in France based on subscribed power and makes a distinction between (i) small non-residential sites with a subscribed power below 36 kVA, (ii) medium-sized non-residential sites with a subscribed power exceeding 36 kVA but below 250 kW, and (iii) large non-residential sites with a subscribed power exceeding 250 kW4.</w:t>
        <w:br/>
        <w:t>11. In this case, the question of the exact delimitation of the retail electricity supply markets can be left open insofar as, regardless of the hypothesis retained, the conclusions of the competitive analysis will remain unchanged.</w:t>
        <w:br/>
        <w:t>2. GEOGRAPHICAL MARKET</w:t>
        <w:br/>
        <w:t>12. Decision-making practice has considered the electricity supply markets as being of national dimension5.</w:t>
        <w:br/>
        <w:t>III. Competitive analysis</w:t>
        <w:br/>
        <w:t>13. The parties are simultaneously active in the electricity supply markets targeting non-residential customers. More specifically, the Quadran group is active in the electricity supply market for small sites, while Enel France is active in the market for medium sites and large sites. The operation therefore does not give rise to any horizontal overlap. On the other hand, the operation results in the vertical strengthening of the new entity given the activities of the acquirer in the upstream market for the production and wholesale sale of electricity and those of the parties in the downstream market for retail electricity supply.</w:t>
        <w:br/>
        <w:t>3 Decision COMP/M.4994, Electrabel/Compagnie Nationale du Rhône, COMP/M.7137 EDF/Dalkia in France cited, point 60 and decision of the Competition Authority No. 12-DCC-20 of February 7, 2012, regarding the exclusive control of Enerest by Electricité de Strasbourg, point 8.</w:t>
        <w:br/>
        <w:t>4 Decisions COMP/M.7137 EDF/Dalkia in France cited, point 62 and COMP/M.4994, Electrabel/Compagnie Nationale du Rhône cited.</w:t>
        <w:br/>
        <w:t>5 Decisions COMP/M.7137 EDF/Dalkia in France, point 67, COMP/M.4994, Electrabel/Compagnie Nationale du Rhône and decisions of the Competition Authority No. 09-DCC-28 of July 30, 2009 Poweo/Verbund and No. 11-DCC-142 of September 22, 2011, regarding the exclusive control of the company Poweo by the company Direct Energie.</w:t>
      </w:r>
    </w:p>
    <w:p>
      <w:r>
        <w:rPr>
          <w:b/>
        </w:rPr>
        <w:t>[Pages 4–4]</w:t>
      </w:r>
    </w:p>
    <w:p>
      <w:r>
        <w:t>14. A vertical concentration is likely to lead to two types of lock-in: (i) input market lock-in when the integrated company refuses to sell an input to its downstream competitors or provides it to them at a high price, under unfavorable conditions, or at a degraded quality level and/or (ii) customer lock-in when the downstream branch of the integrated company refuses to purchase or distribute the products of upstream active producers, thereby reducing their commercial outlets. However, the Authority considers that it is unlikely that a company with a market share of less than 30% in a given market could lock in a downstream or upstream market.</w:t>
      </w:r>
    </w:p>
    <w:p>
      <w:r>
        <w:t>15. In this case, the parties represent less than 5% of the various markets concerned, where they notably face EDF, which has very high market shares, both upstream (EDF operating nearly 70% of installed capacities and accounting for more than 80% of national production) and downstream (EDF holding market shares close to or exceeding 50% in the various downstream electricity supply markets for non-residential customers). Given these market shares, any risk of lock-in can be ruled out.</w:t>
      </w:r>
    </w:p>
    <w:p>
      <w:r>
        <w:t>16. In light of the above elements, the operation is not likely to harm competition in the relevant markets.</w:t>
      </w:r>
    </w:p>
    <w:p>
      <w:r>
        <w:t>DECIDES</w:t>
        <w:br/>
        <w:t>Sole Article: The operation notified under number 16-168 is authorized.</w:t>
        <w:br/>
        <w:t>The President,</w:t>
        <w:br/>
        <w:t>Isabelle de Silva</w:t>
        <w:br/>
        <w:t>© Competition Authority</w:t>
        <w:br/>
        <w:t>6 Guidelines of the Competition Authority regarding the control of concentrations, § 453.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