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https://www.autoritedelaconcurrence.fr/fr/decision-de-controle-des-concentrations/relative-la-prise-de-controle-exclusif-de-la-societe-engie</w:t>
      </w:r>
    </w:p>
    <w:p>
      <w:r>
        <w:t>Pages translated : 2</w:t>
      </w:r>
    </w:p>
    <w:p/>
    <w:p>
      <w:r>
        <w:rPr>
          <w:b/>
        </w:rPr>
        <w:t>[Pages 1–2]</w:t>
      </w:r>
    </w:p>
    <w:p>
      <w:r>
        <w:t xml:space="preserve">FRENCH REPUBLIC  </w:t>
        <w:br/>
        <w:t xml:space="preserve">Decision No. 26-DCC-104 of April 28, 2026  </w:t>
        <w:br/>
        <w:t xml:space="preserve">regarding the exclusive control acquisition of the company Engie Home Services by the company Latour Capital Management  </w:t>
        <w:br/>
        <w:t xml:space="preserve">The Competition Authority,  </w:t>
        <w:br/>
        <w:t xml:space="preserve">Having regard to the complete notification file submitted to the mergers department on April 7, 2026, concerning the exclusive control acquisition of the company Engie Home Services by the company Latour Capital Management, formalized by a purchase agreement dated December 14,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Latour Capital Management, of the company Engie Home Services, specialized in climate engineering and home repair activities aimed at a residential clientele.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26-059 is authorized.  </w:t>
        <w:br/>
        <w:t xml:space="preserve">The Vice-President,  </w:t>
        <w:br/>
        <w:t xml:space="preserve">Vivien Terrien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