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https://www.autoritedelaconcurrence.fr/fr/decision-de-controle-des-concentrations/relative-la-prise-de-controle-exclusif-de-la-societe-enyom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22-DCC-232 of December 2, 2022  </w:t>
        <w:br/>
        <w:t xml:space="preserve">regarding the exclusive control acquisition of the company Enyom Distribution  </w:t>
        <w:br/>
        <w:t xml:space="preserve">by the company LBO France Gestion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15, 2022, concerning the exclusive control acquisition by the company LBO France Gestion of  </w:t>
        <w:br/>
        <w:t xml:space="preserve">the company Enyom Distribution, formalized by a unilateral investment promise  </w:t>
        <w:br/>
        <w:t xml:space="preserve">dated October 12,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two funds managed by LBO  </w:t>
        <w:br/>
        <w:t xml:space="preserve">France Gestion of the company Enyom Distribution, which is notably active in the sector of  </w:t>
        <w:br/>
        <w:t xml:space="preserve">retail trade of clothing and shoes for men (through the brand Size Factory). It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II of Article L. 430-2 of the Commercial Code are exceeded. The present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22-280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