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https://www.autoritedelaconcurrence.fr/fr/decision-de-controle-des-concentrations/relative-la-prise-de-controle-exclusif-de-la-societe-epalia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18-DCC-196 of November 22, 2018</w:t>
        <w:br/>
        <w:t>regarding the exclusive control acquisition of the company Epalia by the company</w:t>
        <w:br/>
        <w:t>Alliance Manufacturing and Trading Company Limited</w:t>
        <w:br/>
        <w:t>The Competition Authority,</w:t>
        <w:br/>
        <w:t>Having regard to the complete notification file submitted to the mergers department on October 31, 2018,</w:t>
        <w:br/>
        <w:t>concerning the exclusive control acquisition of the company Epalia by the company Alliance Manufacturing</w:t>
        <w:br/>
        <w:t>and Trading Company Limited (hereinafter, "AMTC"), and formalized by a transfer agreement dated October 24, 2018;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AMTC of the company Epalia,</w:t>
        <w:br/>
        <w:t>which specializes in the supply of pallets and related services (sorting, repair, relocation).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18-242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