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https://www.autoritedelaconcurrence.fr/fr/decision-de-controle-des-concentrations/relative-la-prise-de-controle-exclusif-de-la-societe-ercp</w:t>
      </w:r>
    </w:p>
    <w:p>
      <w:r>
        <w:t>Pages translated : 3</w:t>
      </w:r>
    </w:p>
    <w:p/>
    <w:p>
      <w:r>
        <w:rPr>
          <w:b/>
        </w:rPr>
        <w:t>[Pages 1–3]</w:t>
      </w:r>
    </w:p>
    <w:p>
      <w:r>
        <w:t xml:space="preserve">FRENCH REPUBLIC  </w:t>
        <w:br/>
        <w:t xml:space="preserve">Decision No. 10-DCC-47 of June 2, 2010  </w:t>
        <w:br/>
        <w:t xml:space="preserve">regarding the exclusive control of the company ERCP FIN 4 SAS  </w:t>
        <w:br/>
        <w:t>by the company Edmond de Rothschild Capital Partners</w:t>
      </w:r>
    </w:p>
    <w:p>
      <w:r>
        <w:t xml:space="preserve">The Competition Authority,  </w:t>
        <w:br/>
        <w:t xml:space="preserve">Having regard to the notification file submitted in full to the merger service on May 12, 2010,  </w:t>
        <w:br/>
        <w:t xml:space="preserve">regarding the exclusive control of the company ERCP FIN 4 SAS (hereinafter "ERCP") by  </w:t>
        <w:br/>
        <w:t xml:space="preserve">the management company Edmond de Rothschild Capital Partners, through the Risk  </w:t>
        <w:br/>
        <w:t xml:space="preserve">Investment Fund Edmond de Rothschild LBO Fund II (hereinafter "FCPR ER LBO Fund II"),  </w:t>
        <w:br/>
        <w:t xml:space="preserve">formalized by a memorandum of understanding dated May 4, 2010;  </w:t>
        <w:br/>
        <w:t xml:space="preserve">Having regard to Book IV of the Commercial Code relating to the freedom of prices and competition,  </w:t>
        <w:br/>
        <w:t xml:space="preserve">and in particular its Articles L. 430-1 to L. 430-7;  </w:t>
        <w:br/>
        <w:t>Adopts the following decision:</w:t>
      </w:r>
    </w:p>
    <w:p>
      <w:r>
        <w:t xml:space="preserve">I. The companies concerned and the operation  </w:t>
        <w:br/>
        <w:t xml:space="preserve">1. Edmond de Rothschild Capital Partners is the management company of the Risk Investment Fund  </w:t>
        <w:br/>
        <w:t xml:space="preserve">Edmond de Rothschild LBO Fund (hereinafter "FCPR ER LBO Fund") and of FCPR ER LBO Fund II.  </w:t>
        <w:br/>
        <w:t xml:space="preserve">The capital of this company is held 60% by the company Edmond de Rothschild Private Equity Partners,  </w:t>
        <w:br/>
        <w:t xml:space="preserve">which groups the "private equity" activities of La Compagnie Financière Edmond de Rothschild Banque*  </w:t>
        <w:br/>
        <w:t xml:space="preserve">of which it is a subsidiary at 99.99%. The remainder of the capital of Edmond de Rothschild Capital Partners  </w:t>
        <w:br/>
        <w:t xml:space="preserve">is equally distributed between Messrs. Erick Fouque and Eric de Montgolfier, who also hold a controlling  </w:t>
        <w:br/>
        <w:t xml:space="preserve">interest in the company Valse Invest and in the company EM Invest, companies that each aim to invest  </w:t>
        <w:br/>
        <w:t xml:space="preserve">alongside the investment fund FCPR ER LBO Fund. These companies do not generate any turnover.  </w:t>
        <w:br/>
        <w:t xml:space="preserve">La Compagnie Financière Edmond de Rothschild Banque, which engages in various banking activities,  </w:t>
        <w:br/>
        <w:t xml:space="preserve">notably private banking and collective management, is under the exclusive control of Compagnie Financière  </w:t>
        <w:br/>
        <w:t xml:space="preserve">Saint Honoré (hereinafter "CFSH")1, whose entire capital is held by Edmond de Rothschild Holding SA,  </w:t>
        <w:br/>
        <w:t xml:space="preserve">which is itself directly and indirectly controlled by Mr. Benjamin de Rothschild and his family  </w:t>
        <w:br/>
        <w:t xml:space="preserve">(hereinafter "the Rothschild group"). In 2008, the Rothschild group achieved a total consolidated worldwide  </w:t>
        <w:br/>
        <w:t>turnover exceeding 350 million euros excluding taxes globally and exceeding 334 million euros in France.</w:t>
      </w:r>
    </w:p>
    <w:p>
      <w:r>
        <w:t xml:space="preserve">2. ERCP is a simplified joint-stock company created for the purposes of the operation. This company will,  </w:t>
        <w:br/>
        <w:t xml:space="preserve">on the date of completion of the operation, directly and indirectly hold the entire capital of the companies  </w:t>
        <w:br/>
        <w:t xml:space="preserve">AFM, Sofigré, Valeurdis, Hyper Embal, and Hyper Embal Belgium (hereinafter collectively referred to as  </w:t>
        <w:br/>
        <w:t xml:space="preserve">"the AFM group")2. The AFM group is active in the packaging sectors, disposable tableware, hygiene and  </w:t>
        <w:br/>
        <w:t xml:space="preserve">cleaning products, cocktail decoration products, bagging products for coins and banknotes, as well as  </w:t>
        <w:br/>
        <w:t xml:space="preserve">cashier clothing. As of March 31, 2009, the last closed fiscal year, the total consolidated worldwide  </w:t>
        <w:br/>
        <w:t xml:space="preserve">turnover attributable to the company ERCP amounted to 96 million euros excluding taxes, of which  </w:t>
        <w:br/>
        <w:t>92 million euros in France.</w:t>
      </w:r>
    </w:p>
    <w:p>
      <w:r>
        <w:t xml:space="preserve">3. The notified operation consists of the exclusive control of the company ERCP by the company  </w:t>
        <w:br/>
        <w:t xml:space="preserve">Edmond de Rothschild Capital Partners, via FCPR ER LBO Fund II. Indeed, following the operation,  </w:t>
        <w:br/>
        <w:t xml:space="preserve">FCPR ER LBO Fund II will hold 52.42% of the capital and voting rights of ERCP, while Messrs. Flitz and  </w:t>
        <w:br/>
        <w:t xml:space="preserve">Guibert will each hold 20.59% and the Société des Cadres will hold 6.4%. However, the shareholders'  </w:t>
        <w:br/>
        <w:t xml:space="preserve">agreement of the company ERCP specifies that the company will be equipped with a supervisory committee  </w:t>
        <w:br/>
        <w:t xml:space="preserve">composed of five members, three of whom will be directly appointed from candidates proposed by FCPR ER  </w:t>
        <w:br/>
        <w:t xml:space="preserve">LBO Fund II. This committee will make strategic decisions regarding the company ERCP by simple majority,  </w:t>
        <w:br/>
        <w:t>such as the approval of the annual budget and the modification or approval of the business plan.</w:t>
      </w:r>
    </w:p>
    <w:p>
      <w:r>
        <w:t xml:space="preserve">4. Insofar as it leads to the exclusive control of the company ERCP by the company Edmond de Rothschild  </w:t>
        <w:br/>
        <w:t xml:space="preserve">Capital Partners, via FCPR ER LBO Fund II, the notified operation constitutes a concentration within the  </w:t>
        <w:br/>
        <w:t xml:space="preserve">meaning of Article L. 430-1 of the Commercial Code. Given the turnover of the companies concerned, it does  </w:t>
        <w:br/>
        <w:t xml:space="preserve">not have a community dimension. However, the control thresholds mentioned in point I of Article L. 430-2 of  </w:t>
        <w:br/>
        <w:t xml:space="preserve">the Commercial Code are exceeded. The present operation is therefore subject to the provisions of Articles  </w:t>
        <w:br/>
        <w:t>L. 430-3 and following of the Commercial Code relating to economic concentration.</w:t>
      </w:r>
    </w:p>
    <w:p>
      <w:r>
        <w:t xml:space="preserve">II. Competitive analysis  </w:t>
        <w:br/>
        <w:t xml:space="preserve">5. ERCP, via the AFM group, will be active in the sectors of packaging, disposable tableware, hygiene and  </w:t>
        <w:br/>
        <w:t xml:space="preserve">cleaning products, cocktail decoration products, bagging products for coins and banknotes, as well as  </w:t>
        <w:br/>
        <w:t xml:space="preserve">cashier clothing. None of the companies currently held by the two venture capital funds managed by  </w:t>
        <w:br/>
        <w:t xml:space="preserve">Edmond de Rothschild Capital Partners are active in the aforementioned markets or in markets that have  </w:t>
        <w:br/>
        <w:t xml:space="preserve">vertical or related links with them. Furthermore, the parties have stated that the Rothschild group does not  </w:t>
        <w:br/>
        <w:t>control any company active in these same markets.</w:t>
      </w:r>
    </w:p>
    <w:p>
      <w:r>
        <w:t>6. Consequently, the notified operation is not likely to harm competition.</w:t>
      </w:r>
    </w:p>
    <w:p>
      <w:r>
        <w:t xml:space="preserve">DECIDES  </w:t>
        <w:br/>
        <w:t xml:space="preserve">Single Article: The operation notified under number 10-0056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