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https://www.autoritedelaconcurrence.fr/fr/decision-de-controle-des-concentrations/relative-la-prise-de-controle-exclusif-de-la-societe-ercros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24-DCC-216 of October 9, 2024  </w:t>
        <w:br/>
        <w:t xml:space="preserve">regarding the exclusive control acquisition of the company Ercros by the company  </w:t>
        <w:br/>
        <w:t xml:space="preserve">Esseco Group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September 24, 2024, concerning the exclusive control acquisition of the company Ercros S.A. by the company  </w:t>
        <w:br/>
        <w:t xml:space="preserve">Esseco Group S.p.A formalized by a public takeover bid announced on June 27,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an unsolicited public takeover bid for all the shares  </w:t>
        <w:br/>
        <w:t xml:space="preserve">of the company Ercros S.A by Esseco Industrial S.p.A., a newly formed company for the  </w:t>
        <w:br/>
        <w:t xml:space="preserve">needs of the contemplated operation and wholly owned by the company Esseco Group S.p.A. The  </w:t>
        <w:br/>
        <w:t xml:space="preserve">sectors concerned by the operation in France are those of the manufacturing and distribution of  </w:t>
        <w:br/>
        <w:t xml:space="preserve">chemical products. The operation constitutes a concentration within the meaning of Article L. 430-1 of  </w:t>
        <w:br/>
        <w:t xml:space="preserve">the Commercial 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mentioned in 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24-191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