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https://www.autoritedelaconcurrence.fr/fr/decision-de-controle-des-concentrations/relative-la-prise-de-controle-exclusif-de-la-societe-esker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24-DCC-224 of October 15, 2024  </w:t>
        <w:br/>
        <w:t xml:space="preserve">regarding the exclusive control acquisition of the company Esker SA by the  </w:t>
        <w:br/>
        <w:t>Bridgepoint group</w:t>
      </w:r>
    </w:p>
    <w:p>
      <w:r>
        <w:t>The Competition Authority,</w:t>
      </w:r>
    </w:p>
    <w:p>
      <w:r>
        <w:t xml:space="preserve">Having regard to the complete notification file submitted to the mergers department on  </w:t>
        <w:br/>
        <w:t xml:space="preserve">September 27, 2024, concerning the exclusive control acquisition of the company Esker SA, and its  </w:t>
        <w:br/>
        <w:t xml:space="preserve">subsidiaries, by the company Bridgepoint Europe, belonging to the Bridgepoint group, acting through  </w:t>
        <w:br/>
        <w:t>three companies created for the purposes of the operation, formalized by an investment agreement and a public tender offer dated September 19,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a public tender offer issued by the Bridgepoint group  </w:t>
        <w:br/>
        <w:t xml:space="preserve">covering more than the majority of the shares of the company Esker SA, which is active in the  </w:t>
        <w:br/>
        <w:t xml:space="preserve">fields of document and data processing for third parties and IT services. The operation constitutes a concentration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control thresholds mentioned in I of Article L. 430-2 of the Commercial Code are exceeded. This  </w:t>
        <w:br/>
        <w:t xml:space="preserve">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24-244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